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79838">
      <w:pPr>
        <w:spacing w:line="240" w:lineRule="atLeast"/>
        <w:ind w:firstLine="960"/>
        <w:jc w:val="center"/>
        <w:rPr>
          <w:rFonts w:ascii="方正小标宋简体" w:hAnsi="黑体" w:eastAsia="方正小标宋简体" w:cs="黑体"/>
          <w:bCs/>
          <w:sz w:val="48"/>
          <w:szCs w:val="48"/>
        </w:rPr>
      </w:pPr>
    </w:p>
    <w:p w14:paraId="69FFB07F">
      <w:pPr>
        <w:spacing w:line="240" w:lineRule="atLeast"/>
        <w:ind w:firstLine="960"/>
        <w:jc w:val="center"/>
        <w:rPr>
          <w:rFonts w:ascii="方正小标宋简体" w:hAnsi="黑体" w:eastAsia="方正小标宋简体" w:cs="黑体"/>
          <w:bCs/>
          <w:sz w:val="48"/>
          <w:szCs w:val="48"/>
        </w:rPr>
      </w:pPr>
    </w:p>
    <w:p w14:paraId="39E35F60">
      <w:pPr>
        <w:spacing w:line="240" w:lineRule="atLeast"/>
        <w:ind w:firstLine="960"/>
        <w:jc w:val="center"/>
        <w:rPr>
          <w:rFonts w:ascii="方正小标宋简体" w:hAnsi="黑体" w:eastAsia="方正小标宋简体" w:cs="黑体"/>
          <w:bCs/>
          <w:sz w:val="48"/>
          <w:szCs w:val="48"/>
        </w:rPr>
      </w:pPr>
    </w:p>
    <w:p w14:paraId="508F79E3">
      <w:pPr>
        <w:spacing w:line="240" w:lineRule="atLeast"/>
        <w:ind w:firstLine="0" w:firstLineChars="0"/>
        <w:jc w:val="center"/>
        <w:rPr>
          <w:rFonts w:ascii="方正小标宋简体" w:hAnsi="黑体" w:eastAsia="方正小标宋简体" w:cs="黑体"/>
          <w:b/>
          <w:sz w:val="48"/>
          <w:szCs w:val="48"/>
        </w:rPr>
      </w:pPr>
      <w:r>
        <w:rPr>
          <w:rFonts w:hint="eastAsia" w:ascii="方正小标宋简体" w:hAnsi="黑体" w:eastAsia="方正小标宋简体" w:cs="黑体"/>
          <w:b/>
          <w:sz w:val="48"/>
          <w:szCs w:val="48"/>
        </w:rPr>
        <w:t>沙湾市民政局</w:t>
      </w:r>
      <w:r>
        <w:rPr>
          <w:rFonts w:hint="eastAsia" w:ascii="方正小标宋简体" w:hAnsi="黑体" w:eastAsia="方正小标宋简体" w:cs="黑体"/>
          <w:b/>
          <w:color w:val="000000" w:themeColor="text1"/>
          <w:sz w:val="48"/>
          <w:szCs w:val="48"/>
        </w:rPr>
        <w:t>2023年</w:t>
      </w:r>
      <w:r>
        <w:rPr>
          <w:rFonts w:hint="eastAsia" w:ascii="方正小标宋简体" w:hAnsi="黑体" w:eastAsia="方正小标宋简体" w:cs="黑体"/>
          <w:b/>
          <w:sz w:val="48"/>
          <w:szCs w:val="48"/>
        </w:rPr>
        <w:t>四个街道经费出差费材料费项目支出绩效评价报告</w:t>
      </w:r>
    </w:p>
    <w:p w14:paraId="42EB258E">
      <w:pPr>
        <w:spacing w:line="240" w:lineRule="atLeast"/>
        <w:ind w:firstLine="960"/>
        <w:jc w:val="center"/>
        <w:rPr>
          <w:rFonts w:ascii="方正小标宋简体" w:hAnsi="黑体" w:eastAsia="方正小标宋简体" w:cs="黑体"/>
          <w:bCs/>
          <w:sz w:val="48"/>
          <w:szCs w:val="48"/>
        </w:rPr>
      </w:pPr>
    </w:p>
    <w:p w14:paraId="0A28C02D">
      <w:pPr>
        <w:spacing w:line="240" w:lineRule="atLeast"/>
        <w:ind w:firstLine="960"/>
        <w:jc w:val="center"/>
        <w:rPr>
          <w:rFonts w:ascii="方正小标宋简体" w:hAnsi="黑体" w:eastAsia="方正小标宋简体" w:cs="黑体"/>
          <w:bCs/>
          <w:sz w:val="48"/>
          <w:szCs w:val="48"/>
        </w:rPr>
      </w:pPr>
    </w:p>
    <w:p w14:paraId="5B9EEBB2">
      <w:pPr>
        <w:spacing w:line="240" w:lineRule="atLeast"/>
        <w:ind w:firstLine="960"/>
        <w:jc w:val="center"/>
        <w:rPr>
          <w:rFonts w:ascii="方正小标宋简体" w:hAnsi="黑体" w:eastAsia="方正小标宋简体" w:cs="黑体"/>
          <w:bCs/>
          <w:sz w:val="48"/>
          <w:szCs w:val="48"/>
        </w:rPr>
      </w:pPr>
    </w:p>
    <w:p w14:paraId="3ADDF29B">
      <w:pPr>
        <w:spacing w:line="240" w:lineRule="atLeast"/>
        <w:ind w:firstLine="960"/>
        <w:jc w:val="center"/>
        <w:rPr>
          <w:rFonts w:ascii="方正小标宋简体" w:hAnsi="黑体" w:eastAsia="方正小标宋简体" w:cs="黑体"/>
          <w:bCs/>
          <w:sz w:val="48"/>
          <w:szCs w:val="48"/>
        </w:rPr>
      </w:pPr>
    </w:p>
    <w:p w14:paraId="241EE27B">
      <w:pPr>
        <w:spacing w:line="240" w:lineRule="atLeast"/>
        <w:ind w:firstLine="960"/>
        <w:jc w:val="center"/>
        <w:rPr>
          <w:rFonts w:ascii="方正小标宋简体" w:hAnsi="黑体" w:eastAsia="方正小标宋简体" w:cs="黑体"/>
          <w:bCs/>
          <w:sz w:val="48"/>
          <w:szCs w:val="48"/>
        </w:rPr>
      </w:pPr>
    </w:p>
    <w:p w14:paraId="5A4972DB">
      <w:pPr>
        <w:spacing w:line="240" w:lineRule="atLeast"/>
        <w:ind w:firstLine="0" w:firstLineChars="0"/>
        <w:rPr>
          <w:rFonts w:ascii="方正小标宋简体" w:hAnsi="黑体" w:eastAsia="方正小标宋简体" w:cs="黑体"/>
          <w:bCs/>
          <w:sz w:val="48"/>
          <w:szCs w:val="48"/>
        </w:rPr>
      </w:pPr>
    </w:p>
    <w:p w14:paraId="17531670">
      <w:pPr>
        <w:spacing w:line="240" w:lineRule="atLeast"/>
        <w:ind w:firstLine="960"/>
        <w:jc w:val="center"/>
        <w:rPr>
          <w:rFonts w:ascii="方正小标宋简体" w:hAnsi="黑体" w:eastAsia="方正小标宋简体" w:cs="黑体"/>
          <w:bCs/>
          <w:sz w:val="48"/>
          <w:szCs w:val="48"/>
        </w:rPr>
      </w:pPr>
    </w:p>
    <w:p w14:paraId="35884CB5">
      <w:pPr>
        <w:ind w:firstLine="1200" w:firstLineChars="400"/>
        <w:rPr>
          <w:rFonts w:ascii="黑体" w:hAnsi="黑体" w:eastAsia="黑体" w:cs="宋体"/>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宋体"/>
          <w:sz w:val="30"/>
          <w:szCs w:val="30"/>
        </w:rPr>
        <w:t>3年四个街道经费出差费材料费项目</w:t>
      </w:r>
      <w:bookmarkEnd w:id="0"/>
    </w:p>
    <w:p w14:paraId="35C84914">
      <w:pPr>
        <w:ind w:firstLine="1200" w:firstLineChars="400"/>
        <w:rPr>
          <w:rFonts w:ascii="黑体" w:hAnsi="黑体" w:eastAsia="黑体" w:cs="宋体"/>
          <w:sz w:val="30"/>
          <w:szCs w:val="30"/>
        </w:rPr>
      </w:pPr>
      <w:r>
        <w:rPr>
          <w:rFonts w:ascii="黑体" w:hAnsi="黑体" w:eastAsia="黑体" w:cs="宋体"/>
          <w:sz w:val="30"/>
          <w:szCs w:val="30"/>
        </w:rPr>
        <w:t>项目单位：</w:t>
      </w:r>
      <w:r>
        <w:rPr>
          <w:rFonts w:hint="eastAsia" w:ascii="黑体" w:hAnsi="黑体" w:eastAsia="黑体" w:cs="宋体"/>
          <w:sz w:val="30"/>
          <w:szCs w:val="30"/>
        </w:rPr>
        <w:t>民政局</w:t>
      </w:r>
    </w:p>
    <w:p w14:paraId="0571FCE0">
      <w:pPr>
        <w:ind w:firstLine="1200" w:firstLineChars="400"/>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宋体"/>
          <w:sz w:val="30"/>
          <w:szCs w:val="30"/>
        </w:rPr>
        <w:t>民政局</w:t>
      </w:r>
      <w:r>
        <w:rPr>
          <w:rFonts w:ascii="黑体" w:hAnsi="黑体" w:eastAsia="黑体" w:cs="宋体"/>
          <w:sz w:val="30"/>
          <w:szCs w:val="30"/>
        </w:rPr>
        <w:t>（</w:t>
      </w:r>
      <w:r>
        <w:rPr>
          <w:rFonts w:hint="eastAsia" w:ascii="黑体" w:hAnsi="黑体" w:eastAsia="黑体" w:cs="宋体"/>
          <w:sz w:val="30"/>
          <w:szCs w:val="30"/>
        </w:rPr>
        <w:t>本级</w:t>
      </w:r>
      <w:r>
        <w:rPr>
          <w:rFonts w:ascii="黑体" w:hAnsi="黑体" w:eastAsia="黑体" w:cs="宋体"/>
          <w:sz w:val="30"/>
          <w:szCs w:val="30"/>
        </w:rPr>
        <w:t>）</w:t>
      </w:r>
    </w:p>
    <w:p w14:paraId="24C23B21">
      <w:pPr>
        <w:ind w:firstLine="1200" w:firstLineChars="400"/>
        <w:rPr>
          <w:rFonts w:ascii="黑体" w:hAnsi="黑体" w:eastAsia="黑体" w:cs="宋体"/>
          <w:sz w:val="30"/>
          <w:szCs w:val="30"/>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宋体"/>
          <w:sz w:val="30"/>
          <w:szCs w:val="30"/>
        </w:rPr>
        <w:t>赵永乐</w:t>
      </w:r>
    </w:p>
    <w:p w14:paraId="49A7D84B">
      <w:pPr>
        <w:ind w:firstLine="1200" w:firstLineChars="400"/>
        <w:rPr>
          <w:rFonts w:ascii="方正小标宋_GBK" w:hAnsi="黑体" w:eastAsia="方正小标宋_GBK" w:cs="黑体"/>
          <w:bCs/>
          <w:sz w:val="44"/>
          <w:szCs w:val="44"/>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4年3月27日</w:t>
      </w:r>
    </w:p>
    <w:p w14:paraId="3A707A65">
      <w:pPr>
        <w:spacing w:after="100" w:afterAutospacing="1" w:line="360" w:lineRule="auto"/>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四个街道经费出差费材料费项目支出</w:t>
      </w:r>
    </w:p>
    <w:p w14:paraId="2677F931">
      <w:pPr>
        <w:spacing w:after="100" w:afterAutospacing="1" w:line="360" w:lineRule="auto"/>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绩效评价报告</w:t>
      </w:r>
    </w:p>
    <w:p w14:paraId="0A5C9611">
      <w:pPr>
        <w:pStyle w:val="2"/>
        <w:spacing w:line="600" w:lineRule="exact"/>
        <w:ind w:firstLine="640"/>
        <w:rPr>
          <w:szCs w:val="32"/>
        </w:rPr>
      </w:pPr>
      <w:r>
        <w:rPr>
          <w:rFonts w:hint="eastAsia"/>
          <w:szCs w:val="32"/>
        </w:rPr>
        <w:t>一、基本情况</w:t>
      </w:r>
    </w:p>
    <w:p w14:paraId="0300DC4F">
      <w:pPr>
        <w:pStyle w:val="3"/>
        <w:spacing w:line="600" w:lineRule="exact"/>
        <w:ind w:firstLine="643"/>
        <w:rPr>
          <w:rFonts w:ascii="楷体_GB2312" w:eastAsia="楷体_GB2312"/>
          <w:szCs w:val="32"/>
        </w:rPr>
      </w:pPr>
      <w:r>
        <w:rPr>
          <w:rFonts w:hint="eastAsia" w:ascii="楷体_GB2312" w:eastAsia="楷体_GB2312"/>
          <w:szCs w:val="32"/>
        </w:rPr>
        <w:t>（一）项目概况</w:t>
      </w:r>
    </w:p>
    <w:p w14:paraId="51B0861F">
      <w:pPr>
        <w:ind w:firstLine="643"/>
        <w:rPr>
          <w:b/>
          <w:bCs/>
          <w:sz w:val="32"/>
          <w:szCs w:val="32"/>
        </w:rPr>
      </w:pPr>
      <w:r>
        <w:rPr>
          <w:rFonts w:hint="eastAsia"/>
          <w:b/>
          <w:bCs/>
          <w:sz w:val="32"/>
          <w:szCs w:val="32"/>
        </w:rPr>
        <w:t>1.项目背景</w:t>
      </w:r>
    </w:p>
    <w:p w14:paraId="2D26A97D">
      <w:pPr>
        <w:pStyle w:val="3"/>
        <w:spacing w:line="520" w:lineRule="exact"/>
        <w:ind w:firstLine="640"/>
        <w:rPr>
          <w:rFonts w:ascii="仿宋_GB2312" w:hAnsi="仿宋_GB2312" w:eastAsia="仿宋_GB2312" w:cs="仿宋_GB2312"/>
          <w:b w:val="0"/>
          <w:szCs w:val="32"/>
        </w:rPr>
      </w:pPr>
      <w:r>
        <w:rPr>
          <w:rFonts w:hint="eastAsia" w:ascii="仿宋_GB2312" w:hAnsi="仿宋_GB2312" w:eastAsia="仿宋_GB2312" w:cs="仿宋_GB2312"/>
          <w:b w:val="0"/>
          <w:szCs w:val="32"/>
        </w:rPr>
        <w:t>根据民政部《关于同意新疆维吾尔自治区撤销沙湾县设立县级沙湾市的批复》（民函〔2021〕4号）、自治区人民政府印发《关于撤销沙湾县设立县级沙湾市的通知》（新政发〔2021〕12号）要求，遵照《行政区划管理条例》（国务院令第704令）、《中华人民共和国地方各级人民代表大会和地方各级人民政府组织法》的有关规定，拟撤销沙湾市人民政府驻地三道河子镇，并按照相关程序逐级上报审批，设立四个街道，实现“城市-街道-社区”三级管理模式，有利于城乡管理体制融合统一，必然促使各项经济要素最大限度地物尽其用，为人才流动、资金投放、资源配置、市场调节、信息共享等提供更加优越的环境。”</w:t>
      </w:r>
    </w:p>
    <w:p w14:paraId="544BF871">
      <w:pPr>
        <w:spacing w:line="520" w:lineRule="exact"/>
        <w:ind w:firstLine="640"/>
        <w:rPr>
          <w:rFonts w:ascii="仿宋_GB2312" w:hAnsi="仿宋_GB2312" w:cs="仿宋_GB2312"/>
          <w:sz w:val="32"/>
          <w:szCs w:val="32"/>
        </w:rPr>
      </w:pPr>
      <w:r>
        <w:rPr>
          <w:rFonts w:hint="eastAsia" w:ascii="仿宋_GB2312" w:hAnsi="仿宋_GB2312" w:cs="仿宋_GB2312"/>
          <w:sz w:val="32"/>
          <w:szCs w:val="32"/>
        </w:rPr>
        <w:t>2019年4月，按照县委安排，我县再次启动撤县设市申报工作，调整了沙湾县撤县设市工作领导小组。由县委书记任组长，政府、人大、政协领导任副组长，各部门主要领导任成员的“沙湾县撤县设市工作领导小组”，办公室设在民政局，具体负责撤县设市申报工作。撤销三道河子镇设立四个街道系撤县设市后续工作所产生的工作经费。</w:t>
      </w:r>
    </w:p>
    <w:p w14:paraId="01043E12">
      <w:pPr>
        <w:ind w:firstLine="643"/>
        <w:rPr>
          <w:b/>
          <w:bCs/>
          <w:sz w:val="32"/>
          <w:szCs w:val="32"/>
        </w:rPr>
      </w:pPr>
      <w:r>
        <w:rPr>
          <w:rFonts w:hint="eastAsia"/>
          <w:b/>
          <w:bCs/>
          <w:sz w:val="32"/>
          <w:szCs w:val="32"/>
        </w:rPr>
        <w:t>2.项目主要内容及实施情况</w:t>
      </w:r>
    </w:p>
    <w:p w14:paraId="2547AAD9">
      <w:pPr>
        <w:pStyle w:val="21"/>
        <w:spacing w:line="600" w:lineRule="exact"/>
        <w:ind w:firstLine="640"/>
        <w:rPr>
          <w:rFonts w:ascii="仿宋_GB2312" w:hAnsi="仿宋_GB2312" w:cs="仿宋_GB2312"/>
          <w:color w:val="FF0000"/>
          <w:sz w:val="32"/>
          <w:szCs w:val="32"/>
        </w:rPr>
      </w:pPr>
      <w:r>
        <w:rPr>
          <w:rFonts w:hint="eastAsia" w:ascii="仿宋_GB2312" w:hAnsi="仿宋_GB2312" w:cs="仿宋_GB2312"/>
          <w:color w:val="000000" w:themeColor="text1"/>
          <w:sz w:val="32"/>
          <w:szCs w:val="32"/>
        </w:rPr>
        <w:t>本项目主要内容为：</w:t>
      </w:r>
      <w:r>
        <w:rPr>
          <w:rFonts w:hint="eastAsia" w:ascii="仿宋_GB2312" w:hAnsi="仿宋_GB2312" w:cs="仿宋_GB2312"/>
          <w:spacing w:val="11"/>
          <w:sz w:val="32"/>
          <w:szCs w:val="32"/>
        </w:rPr>
        <w:t>根据新疆维吾尔自治区人民政府《关于同意伊犁哈萨克自治州塔城地区沙湾市撤销三道河子镇等2件乡级行政区划调整事项的批复》（新政函〔2023〕4号），经沙湾市委、沙湾市人民政府研究，报请伊犁州人民政府同意，设立桃园、团结、书香、凯旋四个街道办事处，为平稳顺利实施沙湾行政区划调整工作，沙湾市人民政府办公室印发了《关于撤销三道河子镇设立团结、书香、桃园和凯旋四个街道总体实施方案》，明确了指导思想、工作任务、保障措施等,确保落实好行政区划变更工作。</w:t>
      </w:r>
    </w:p>
    <w:p w14:paraId="23EEE214">
      <w:pPr>
        <w:snapToGrid w:val="0"/>
        <w:ind w:firstLine="684"/>
        <w:rPr>
          <w:sz w:val="32"/>
        </w:rPr>
      </w:pPr>
      <w:r>
        <w:rPr>
          <w:rFonts w:hint="eastAsia" w:ascii="仿宋_GB2312" w:hAnsi="仿宋_GB2312" w:cs="仿宋_GB2312"/>
          <w:spacing w:val="11"/>
          <w:kern w:val="0"/>
          <w:sz w:val="32"/>
          <w:szCs w:val="32"/>
        </w:rPr>
        <w:t>本项目于2023年2月开始实施，截</w:t>
      </w:r>
      <w:r>
        <w:rPr>
          <w:rFonts w:hint="eastAsia" w:ascii="仿宋_GB2312" w:hAnsi="仿宋_GB2312" w:cs="仿宋_GB2312"/>
          <w:spacing w:val="11"/>
          <w:kern w:val="0"/>
          <w:sz w:val="32"/>
          <w:szCs w:val="32"/>
          <w:lang w:eastAsia="zh-CN"/>
        </w:rPr>
        <w:t>至</w:t>
      </w:r>
      <w:r>
        <w:rPr>
          <w:rFonts w:hint="eastAsia" w:ascii="仿宋_GB2312" w:hAnsi="仿宋_GB2312" w:cs="仿宋_GB2312"/>
          <w:spacing w:val="11"/>
          <w:kern w:val="0"/>
          <w:sz w:val="32"/>
          <w:szCs w:val="32"/>
        </w:rPr>
        <w:t>2023年11月，该项目已实施完成，各项任务指标全部完成。通过本项目的实施，</w:t>
      </w:r>
      <w:r>
        <w:rPr>
          <w:rStyle w:val="27"/>
          <w:rFonts w:hint="eastAsia" w:ascii="仿宋_GB2312" w:hAnsi="方正仿宋简体" w:eastAsia="仿宋_GB2312" w:cs="方正仿宋简体"/>
          <w:spacing w:val="11"/>
          <w:kern w:val="1"/>
          <w:sz w:val="32"/>
          <w:szCs w:val="32"/>
        </w:rPr>
        <w:t>沙湾市撤镇设街道以来，着力推进治理体系和治理现代化建设，重点落实创新</w:t>
      </w:r>
      <w:r>
        <w:rPr>
          <w:rStyle w:val="27"/>
          <w:rFonts w:hint="eastAsia" w:ascii="仿宋_GB2312" w:hAnsi="方正仿宋简体" w:cs="方正仿宋简体"/>
          <w:spacing w:val="11"/>
          <w:kern w:val="1"/>
          <w:sz w:val="32"/>
          <w:szCs w:val="32"/>
          <w:lang w:eastAsia="zh-CN"/>
        </w:rPr>
        <w:t>、</w:t>
      </w:r>
      <w:r>
        <w:rPr>
          <w:rStyle w:val="27"/>
          <w:rFonts w:hint="eastAsia" w:ascii="仿宋_GB2312" w:hAnsi="方正仿宋简体" w:eastAsia="仿宋_GB2312" w:cs="方正仿宋简体"/>
          <w:spacing w:val="11"/>
          <w:kern w:val="1"/>
          <w:sz w:val="32"/>
          <w:szCs w:val="32"/>
        </w:rPr>
        <w:t>协调</w:t>
      </w:r>
      <w:r>
        <w:rPr>
          <w:rStyle w:val="27"/>
          <w:rFonts w:hint="eastAsia" w:ascii="仿宋_GB2312" w:hAnsi="方正仿宋简体" w:cs="方正仿宋简体"/>
          <w:spacing w:val="11"/>
          <w:kern w:val="1"/>
          <w:sz w:val="32"/>
          <w:szCs w:val="32"/>
          <w:lang w:eastAsia="zh-CN"/>
        </w:rPr>
        <w:t>、</w:t>
      </w:r>
      <w:r>
        <w:rPr>
          <w:rStyle w:val="27"/>
          <w:rFonts w:hint="eastAsia" w:ascii="仿宋_GB2312" w:hAnsi="方正仿宋简体" w:eastAsia="仿宋_GB2312" w:cs="方正仿宋简体"/>
          <w:spacing w:val="11"/>
          <w:kern w:val="1"/>
          <w:sz w:val="32"/>
          <w:szCs w:val="32"/>
        </w:rPr>
        <w:t>绿色、开放、共享的发展理念，尊重和顺应城镇发展规律，优化国土空间格局，统筹做好规划、建设和管理，来增强城镇承载和优化资源配置能力。</w:t>
      </w:r>
    </w:p>
    <w:p w14:paraId="442F2AB7">
      <w:pPr>
        <w:ind w:firstLine="643"/>
        <w:rPr>
          <w:b/>
          <w:bCs/>
          <w:sz w:val="32"/>
          <w:szCs w:val="32"/>
        </w:rPr>
      </w:pPr>
      <w:r>
        <w:rPr>
          <w:rFonts w:hint="eastAsia"/>
          <w:b/>
          <w:bCs/>
          <w:sz w:val="32"/>
          <w:szCs w:val="32"/>
        </w:rPr>
        <w:t>3.项目实施主体</w:t>
      </w:r>
    </w:p>
    <w:p w14:paraId="6E917C52">
      <w:pPr>
        <w:pStyle w:val="21"/>
        <w:spacing w:line="570" w:lineRule="exact"/>
        <w:ind w:firstLine="640"/>
        <w:rPr>
          <w:rStyle w:val="27"/>
          <w:rFonts w:ascii="仿宋_GB2312" w:hAnsi="方正仿宋简体" w:eastAsia="仿宋_GB2312" w:cs="方正仿宋简体"/>
          <w:spacing w:val="11"/>
          <w:kern w:val="1"/>
          <w:sz w:val="32"/>
          <w:szCs w:val="32"/>
        </w:rPr>
      </w:pPr>
      <w:r>
        <w:rPr>
          <w:rFonts w:ascii="仿宋_GB2312" w:hAnsi="仿宋_GB2312" w:cs="仿宋_GB2312"/>
          <w:color w:val="000000" w:themeColor="text1"/>
          <w:sz w:val="32"/>
          <w:szCs w:val="32"/>
        </w:rPr>
        <w:t>202</w:t>
      </w:r>
      <w:r>
        <w:rPr>
          <w:rFonts w:hint="eastAsia" w:ascii="仿宋_GB2312" w:hAnsi="仿宋_GB2312" w:cs="仿宋_GB2312"/>
          <w:color w:val="000000" w:themeColor="text1"/>
          <w:sz w:val="32"/>
          <w:szCs w:val="32"/>
        </w:rPr>
        <w:t>3年</w:t>
      </w:r>
      <w:r>
        <w:rPr>
          <w:rStyle w:val="27"/>
          <w:rFonts w:hint="eastAsia" w:ascii="仿宋_GB2312" w:hAnsi="方正仿宋简体" w:eastAsia="仿宋_GB2312" w:cs="方正仿宋简体"/>
          <w:spacing w:val="11"/>
          <w:kern w:val="1"/>
          <w:sz w:val="32"/>
          <w:szCs w:val="32"/>
        </w:rPr>
        <w:t>四个街道经费出差费材料费项目的实施主体为沙湾市民政局。</w:t>
      </w:r>
    </w:p>
    <w:p w14:paraId="3B607682">
      <w:pPr>
        <w:ind w:firstLine="643"/>
        <w:rPr>
          <w:b/>
          <w:bCs/>
          <w:sz w:val="32"/>
          <w:szCs w:val="32"/>
        </w:rPr>
      </w:pPr>
      <w:r>
        <w:rPr>
          <w:rFonts w:hint="eastAsia"/>
          <w:b/>
          <w:bCs/>
          <w:sz w:val="32"/>
          <w:szCs w:val="32"/>
        </w:rPr>
        <w:t>4. 资金投入和使用情况</w:t>
      </w:r>
    </w:p>
    <w:p w14:paraId="77E85A41">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14:paraId="1F4C4C8C">
      <w:pPr>
        <w:spacing w:line="600" w:lineRule="exact"/>
        <w:ind w:firstLine="684"/>
        <w:rPr>
          <w:rStyle w:val="27"/>
          <w:rFonts w:ascii="仿宋_GB2312" w:hAnsi="方正仿宋简体" w:eastAsia="仿宋_GB2312" w:cs="方正仿宋简体"/>
          <w:spacing w:val="11"/>
          <w:kern w:val="1"/>
          <w:sz w:val="32"/>
          <w:szCs w:val="32"/>
        </w:rPr>
      </w:pPr>
      <w:r>
        <w:rPr>
          <w:rStyle w:val="27"/>
          <w:rFonts w:hint="eastAsia" w:ascii="仿宋_GB2312" w:hAnsi="方正仿宋简体" w:eastAsia="仿宋_GB2312" w:cs="方正仿宋简体"/>
          <w:spacing w:val="11"/>
          <w:kern w:val="1"/>
          <w:sz w:val="32"/>
          <w:szCs w:val="32"/>
        </w:rPr>
        <w:t>根据</w:t>
      </w:r>
      <w:r>
        <w:rPr>
          <w:rStyle w:val="27"/>
          <w:rFonts w:hint="eastAsia" w:ascii="仿宋_GB2312" w:hAnsi="方正仿宋简体" w:cs="方正仿宋简体"/>
          <w:spacing w:val="11"/>
          <w:kern w:val="1"/>
          <w:sz w:val="32"/>
          <w:szCs w:val="32"/>
          <w:lang w:eastAsia="zh-CN"/>
        </w:rPr>
        <w:t>市委、市政府</w:t>
      </w:r>
      <w:r>
        <w:rPr>
          <w:rStyle w:val="27"/>
          <w:rFonts w:hint="eastAsia" w:ascii="仿宋_GB2312" w:hAnsi="方正仿宋简体" w:eastAsia="仿宋_GB2312" w:cs="方正仿宋简体"/>
          <w:spacing w:val="11"/>
          <w:kern w:val="1"/>
          <w:sz w:val="32"/>
          <w:szCs w:val="32"/>
        </w:rPr>
        <w:t>主要领导同意，经市委财经委员会研究，市财政拨付，收到预算资金4.3万元，预算资金到位率为100%。</w:t>
      </w:r>
    </w:p>
    <w:p w14:paraId="6DE7DD0A">
      <w:pPr>
        <w:spacing w:line="600" w:lineRule="exact"/>
        <w:ind w:firstLine="684"/>
        <w:rPr>
          <w:rStyle w:val="27"/>
          <w:rFonts w:ascii="仿宋_GB2312" w:hAnsi="方正仿宋简体" w:eastAsia="仿宋_GB2312" w:cs="方正仿宋简体"/>
          <w:spacing w:val="11"/>
          <w:kern w:val="1"/>
          <w:sz w:val="32"/>
          <w:szCs w:val="32"/>
        </w:rPr>
      </w:pPr>
      <w:r>
        <w:rPr>
          <w:rStyle w:val="27"/>
          <w:rFonts w:hint="eastAsia" w:ascii="仿宋_GB2312" w:hAnsi="方正仿宋简体" w:eastAsia="仿宋_GB2312" w:cs="方正仿宋简体"/>
          <w:spacing w:val="11"/>
          <w:kern w:val="1"/>
          <w:sz w:val="32"/>
          <w:szCs w:val="32"/>
        </w:rPr>
        <w:t>（2）项目资金实际使用情况</w:t>
      </w:r>
    </w:p>
    <w:p w14:paraId="29BE211C">
      <w:pPr>
        <w:spacing w:line="600" w:lineRule="exact"/>
        <w:ind w:firstLine="684"/>
        <w:rPr>
          <w:rStyle w:val="27"/>
          <w:rFonts w:ascii="仿宋_GB2312" w:hAnsi="方正仿宋简体" w:eastAsia="仿宋_GB2312" w:cs="方正仿宋简体"/>
          <w:spacing w:val="11"/>
          <w:kern w:val="1"/>
          <w:sz w:val="32"/>
          <w:szCs w:val="32"/>
        </w:rPr>
      </w:pPr>
      <w:r>
        <w:rPr>
          <w:rStyle w:val="27"/>
          <w:rFonts w:hint="eastAsia" w:ascii="仿宋_GB2312" w:hAnsi="方正仿宋简体" w:eastAsia="仿宋_GB2312" w:cs="方正仿宋简体"/>
          <w:spacing w:val="11"/>
          <w:kern w:val="1"/>
          <w:sz w:val="32"/>
          <w:szCs w:val="32"/>
        </w:rPr>
        <w:t>截至2023年12月31日，本项目实际支付资金4.3万元，预算执行率100%。项目资金主要用于支付设立街道</w:t>
      </w:r>
      <w:r>
        <w:rPr>
          <w:rStyle w:val="27"/>
          <w:rFonts w:hint="eastAsia" w:ascii="仿宋_GB2312" w:hAnsi="方正仿宋简体" w:cs="方正仿宋简体"/>
          <w:spacing w:val="11"/>
          <w:kern w:val="1"/>
          <w:sz w:val="32"/>
          <w:szCs w:val="32"/>
        </w:rPr>
        <w:t>申报材料</w:t>
      </w:r>
      <w:r>
        <w:rPr>
          <w:rStyle w:val="27"/>
          <w:rFonts w:hint="eastAsia" w:ascii="仿宋_GB2312" w:hAnsi="方正仿宋简体" w:eastAsia="仿宋_GB2312" w:cs="方正仿宋简体"/>
          <w:spacing w:val="11"/>
          <w:kern w:val="1"/>
          <w:sz w:val="32"/>
          <w:szCs w:val="32"/>
        </w:rPr>
        <w:t>费</w:t>
      </w:r>
      <w:r>
        <w:rPr>
          <w:rStyle w:val="27"/>
          <w:rFonts w:hint="eastAsia" w:ascii="仿宋_GB2312" w:hAnsi="方正仿宋简体" w:cs="方正仿宋简体"/>
          <w:spacing w:val="11"/>
          <w:kern w:val="1"/>
          <w:sz w:val="32"/>
          <w:szCs w:val="32"/>
        </w:rPr>
        <w:t>3.58万元，跑办项目</w:t>
      </w:r>
      <w:r>
        <w:rPr>
          <w:rStyle w:val="27"/>
          <w:rFonts w:hint="eastAsia" w:ascii="仿宋_GB2312" w:hAnsi="方正仿宋简体" w:eastAsia="仿宋_GB2312" w:cs="方正仿宋简体"/>
          <w:spacing w:val="11"/>
          <w:kern w:val="1"/>
          <w:sz w:val="32"/>
          <w:szCs w:val="32"/>
        </w:rPr>
        <w:t>出差费</w:t>
      </w:r>
      <w:r>
        <w:rPr>
          <w:rStyle w:val="27"/>
          <w:rFonts w:hint="eastAsia" w:ascii="仿宋_GB2312" w:hAnsi="方正仿宋简体" w:cs="方正仿宋简体"/>
          <w:spacing w:val="11"/>
          <w:kern w:val="1"/>
          <w:sz w:val="32"/>
          <w:szCs w:val="32"/>
        </w:rPr>
        <w:t>0.49万元、跑办项目车辆过路</w:t>
      </w:r>
      <w:r>
        <w:rPr>
          <w:rStyle w:val="27"/>
          <w:rFonts w:hint="eastAsia" w:ascii="仿宋_GB2312" w:hAnsi="方正仿宋简体" w:eastAsia="仿宋_GB2312" w:cs="方正仿宋简体"/>
          <w:spacing w:val="11"/>
          <w:kern w:val="1"/>
          <w:sz w:val="32"/>
          <w:szCs w:val="32"/>
        </w:rPr>
        <w:t>费</w:t>
      </w:r>
      <w:r>
        <w:rPr>
          <w:rStyle w:val="27"/>
          <w:rFonts w:hint="eastAsia" w:ascii="仿宋_GB2312" w:hAnsi="方正仿宋简体" w:cs="方正仿宋简体"/>
          <w:spacing w:val="11"/>
          <w:kern w:val="1"/>
          <w:sz w:val="32"/>
          <w:szCs w:val="32"/>
        </w:rPr>
        <w:t>及加油费0.23</w:t>
      </w:r>
      <w:r>
        <w:rPr>
          <w:rStyle w:val="27"/>
          <w:rFonts w:hint="eastAsia" w:ascii="仿宋_GB2312" w:hAnsi="方正仿宋简体" w:eastAsia="仿宋_GB2312" w:cs="方正仿宋简体"/>
          <w:spacing w:val="11"/>
          <w:kern w:val="1"/>
          <w:sz w:val="32"/>
          <w:szCs w:val="32"/>
        </w:rPr>
        <w:t>万元。</w:t>
      </w:r>
    </w:p>
    <w:p w14:paraId="2299DF91">
      <w:pPr>
        <w:pStyle w:val="3"/>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14:paraId="109C26F9">
      <w:pPr>
        <w:ind w:firstLine="643"/>
        <w:rPr>
          <w:b/>
          <w:bCs/>
          <w:sz w:val="32"/>
          <w:szCs w:val="32"/>
        </w:rPr>
      </w:pPr>
      <w:r>
        <w:rPr>
          <w:rFonts w:hint="eastAsia"/>
          <w:b/>
          <w:bCs/>
          <w:sz w:val="32"/>
          <w:szCs w:val="32"/>
        </w:rPr>
        <w:t>1.总体目标</w:t>
      </w:r>
    </w:p>
    <w:p w14:paraId="4D17426F">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设立“四个街道”推动城市建设，提高群众生活质量，给</w:t>
      </w:r>
      <w:r>
        <w:rPr>
          <w:rFonts w:hint="eastAsia" w:ascii="仿宋_GB2312" w:hAnsi="Arial" w:cs="宋体"/>
          <w:bCs/>
          <w:color w:val="000000"/>
          <w:sz w:val="32"/>
          <w:szCs w:val="32"/>
          <w:lang w:eastAsia="zh-CN"/>
        </w:rPr>
        <w:t>予</w:t>
      </w:r>
      <w:r>
        <w:rPr>
          <w:rFonts w:hint="eastAsia" w:ascii="仿宋_GB2312" w:hAnsi="Arial" w:cs="宋体"/>
          <w:bCs/>
          <w:color w:val="000000"/>
          <w:sz w:val="32"/>
          <w:szCs w:val="32"/>
        </w:rPr>
        <w:t>撤销三道河子镇设立街道工作经费，顺利完成街道的审批，有利于将区域内的公共服务资源用地、布局及管理服务对象户籍属性等一并进行调整，解决城乡交错区域群众服务问题。全年项目计划实现目标如下：（1）从沙湾市资源、环境实际条件，城市用地主要向东、南两个方向发展，西侧高速门槛限制，以控制发展为主，北侧以优化功能为主；（2）有利于以城市标准引领发展，加强城市基础设施建设，扩大公共服务供给，推动城乡一体化建设；（3）有利于资源配置与生产力布局合理化，加强中心城区基础设施和公共服务设施配套建设，不断优化投资环境，加大招商引资力度、资金、人才、和技术集聚商务服务等现代服务业发展，促进产业结构优化升级，促进农村剩余劳动力转型，使各族群众获得感、安全感、幸福感不断增强；（4）健全和转变“政”的职能，是推广街道、社区管理模式，促进社会公平和社会管理创新，实现基层基础工作由农村“管理型”向城市“服务型”转变，让广大农牧民享受到城市居民的公共服务。”计划通过本项目的实施，加快了城市社会经济发展，提升城市知名度，将加快人口聚集、优化城市环境、完善基础设施和公共服务设施，提供就业岗位，以沙湾“大盘鸡”、鹿角湾景区、千泉湖景区、温泉景区等资源提升城市知名度，打造快速、文明发展的智慧型城市。有利于不断巩固“全国文明村镇”成果，深入践行“绿水青山就是金山银山，冰天雪地也是金山银山”的理念，全时段、全环节、全区域抓好城市环境建设，营造干净整洁、天蓝地绿的沙湾城市环境。</w:t>
      </w:r>
    </w:p>
    <w:p w14:paraId="5240B626">
      <w:pPr>
        <w:ind w:firstLine="643"/>
        <w:rPr>
          <w:b/>
          <w:bCs/>
          <w:sz w:val="32"/>
          <w:szCs w:val="32"/>
        </w:rPr>
      </w:pPr>
      <w:r>
        <w:rPr>
          <w:rFonts w:hint="eastAsia"/>
          <w:b/>
          <w:bCs/>
          <w:sz w:val="32"/>
          <w:szCs w:val="32"/>
        </w:rPr>
        <w:t>2.阶段性目标</w:t>
      </w:r>
    </w:p>
    <w:p w14:paraId="53CDAB06">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10号）、《塔城地区财政</w:t>
      </w:r>
      <w:r>
        <w:rPr>
          <w:rFonts w:hint="eastAsia" w:ascii="仿宋_GB2312"/>
          <w:sz w:val="32"/>
          <w:szCs w:val="32"/>
        </w:rPr>
        <w:t>支出绩效评价管理暂行办法》（塔地财预〔201</w:t>
      </w:r>
      <w:r>
        <w:rPr>
          <w:rFonts w:ascii="仿宋_GB2312"/>
          <w:sz w:val="32"/>
          <w:szCs w:val="32"/>
        </w:rPr>
        <w:t>8</w:t>
      </w:r>
      <w:r>
        <w:rPr>
          <w:rFonts w:hint="eastAsia" w:ascii="仿宋_GB2312"/>
          <w:sz w:val="32"/>
          <w:szCs w:val="32"/>
        </w:rPr>
        <w:t>〕</w:t>
      </w:r>
      <w:r>
        <w:rPr>
          <w:rFonts w:ascii="仿宋_GB2312"/>
          <w:sz w:val="32"/>
          <w:szCs w:val="32"/>
        </w:rPr>
        <w:t>114</w:t>
      </w:r>
      <w:r>
        <w:rPr>
          <w:rFonts w:hint="eastAsia" w:ascii="仿宋_GB2312"/>
          <w:sz w:val="32"/>
          <w:szCs w:val="32"/>
        </w:rPr>
        <w:t>号）等文件要求，</w:t>
      </w:r>
      <w:r>
        <w:rPr>
          <w:rFonts w:hint="eastAsia" w:ascii="仿宋_GB2312" w:hAnsi="Arial" w:cs="宋体"/>
          <w:bCs/>
          <w:color w:val="000000"/>
          <w:sz w:val="32"/>
          <w:szCs w:val="32"/>
        </w:rPr>
        <w:t>结合本项目实际，对绩效目标进行逐层分解、细化后的具体绩效指标如下：</w:t>
      </w:r>
    </w:p>
    <w:p w14:paraId="6D31D0B6">
      <w:pPr>
        <w:numPr>
          <w:ilvl w:val="0"/>
          <w:numId w:val="3"/>
        </w:numPr>
        <w:spacing w:line="600" w:lineRule="exact"/>
        <w:ind w:firstLine="640"/>
        <w:rPr>
          <w:sz w:val="32"/>
          <w:szCs w:val="32"/>
        </w:rPr>
      </w:pPr>
      <w:r>
        <w:rPr>
          <w:rFonts w:hint="eastAsia"/>
          <w:sz w:val="32"/>
          <w:szCs w:val="32"/>
        </w:rPr>
        <w:t>项目产出指标</w:t>
      </w:r>
    </w:p>
    <w:p w14:paraId="5EA2DCEA">
      <w:pPr>
        <w:spacing w:line="600" w:lineRule="exact"/>
        <w:ind w:firstLine="640"/>
        <w:rPr>
          <w:sz w:val="32"/>
          <w:szCs w:val="32"/>
        </w:rPr>
      </w:pPr>
      <w:r>
        <w:rPr>
          <w:rFonts w:hint="eastAsia"/>
          <w:sz w:val="32"/>
          <w:szCs w:val="32"/>
        </w:rPr>
        <w:t>①数量指标</w:t>
      </w:r>
    </w:p>
    <w:p w14:paraId="338653FA">
      <w:pPr>
        <w:spacing w:line="600" w:lineRule="exact"/>
        <w:ind w:firstLine="640"/>
        <w:rPr>
          <w:rFonts w:ascii="仿宋_GB2312"/>
          <w:sz w:val="32"/>
          <w:szCs w:val="32"/>
        </w:rPr>
      </w:pPr>
      <w:r>
        <w:rPr>
          <w:rFonts w:hint="eastAsia"/>
          <w:sz w:val="32"/>
          <w:szCs w:val="32"/>
        </w:rPr>
        <w:t>“</w:t>
      </w:r>
      <w:r>
        <w:rPr>
          <w:rFonts w:hint="eastAsia" w:ascii="仿宋_GB2312"/>
          <w:sz w:val="32"/>
          <w:szCs w:val="32"/>
        </w:rPr>
        <w:t>制作设立街道申报资料数量（套）”指标，预期指标值为“大于等于4个”；</w:t>
      </w:r>
    </w:p>
    <w:p w14:paraId="54C9072F">
      <w:pPr>
        <w:spacing w:line="600" w:lineRule="exact"/>
        <w:ind w:firstLine="640"/>
        <w:rPr>
          <w:sz w:val="32"/>
          <w:szCs w:val="32"/>
        </w:rPr>
      </w:pPr>
      <w:r>
        <w:rPr>
          <w:rFonts w:hint="eastAsia"/>
          <w:sz w:val="32"/>
          <w:szCs w:val="32"/>
        </w:rPr>
        <w:t>②质量指标</w:t>
      </w:r>
    </w:p>
    <w:p w14:paraId="77990182">
      <w:pPr>
        <w:spacing w:line="600" w:lineRule="exact"/>
        <w:ind w:firstLine="640"/>
        <w:rPr>
          <w:rFonts w:ascii="仿宋_GB2312"/>
          <w:sz w:val="32"/>
          <w:szCs w:val="32"/>
        </w:rPr>
      </w:pPr>
      <w:r>
        <w:rPr>
          <w:rFonts w:hint="eastAsia" w:ascii="仿宋_GB2312"/>
          <w:sz w:val="32"/>
          <w:szCs w:val="32"/>
        </w:rPr>
        <w:t>“项目申报资料完成合格率”指标，预期指标值为“等于100%”；</w:t>
      </w:r>
    </w:p>
    <w:p w14:paraId="400CDB39">
      <w:pPr>
        <w:spacing w:line="600" w:lineRule="exact"/>
        <w:ind w:firstLine="640"/>
        <w:rPr>
          <w:sz w:val="32"/>
          <w:szCs w:val="32"/>
        </w:rPr>
      </w:pPr>
      <w:r>
        <w:rPr>
          <w:rFonts w:hint="eastAsia"/>
          <w:sz w:val="32"/>
          <w:szCs w:val="32"/>
        </w:rPr>
        <w:t>③时效指标</w:t>
      </w:r>
    </w:p>
    <w:p w14:paraId="14ABC4C1">
      <w:pPr>
        <w:spacing w:line="600" w:lineRule="exact"/>
        <w:ind w:firstLine="640"/>
        <w:rPr>
          <w:rFonts w:ascii="仿宋_GB2312"/>
          <w:sz w:val="32"/>
          <w:szCs w:val="32"/>
        </w:rPr>
      </w:pPr>
      <w:r>
        <w:rPr>
          <w:rFonts w:hint="eastAsia" w:ascii="仿宋_GB2312"/>
          <w:sz w:val="32"/>
          <w:szCs w:val="32"/>
        </w:rPr>
        <w:t>“资金支付及时率（%）”指标，预期指标值为“等于100%”。</w:t>
      </w:r>
    </w:p>
    <w:p w14:paraId="7C4C9A2D">
      <w:pPr>
        <w:spacing w:line="600" w:lineRule="exact"/>
        <w:ind w:firstLine="640"/>
        <w:rPr>
          <w:rFonts w:ascii="仿宋_GB2312"/>
          <w:sz w:val="32"/>
          <w:szCs w:val="32"/>
        </w:rPr>
      </w:pPr>
      <w:r>
        <w:rPr>
          <w:rFonts w:hint="eastAsia" w:ascii="仿宋_GB2312"/>
          <w:sz w:val="32"/>
          <w:szCs w:val="32"/>
        </w:rPr>
        <w:t>“项目完成时间指标”，预期指标值为“2023年12月25日”。</w:t>
      </w:r>
    </w:p>
    <w:p w14:paraId="3D17AED7">
      <w:pPr>
        <w:numPr>
          <w:ilvl w:val="0"/>
          <w:numId w:val="3"/>
        </w:numPr>
        <w:spacing w:line="600" w:lineRule="exact"/>
        <w:ind w:firstLine="640"/>
        <w:rPr>
          <w:sz w:val="32"/>
          <w:szCs w:val="32"/>
        </w:rPr>
      </w:pPr>
      <w:r>
        <w:rPr>
          <w:rFonts w:hint="eastAsia"/>
          <w:sz w:val="32"/>
          <w:szCs w:val="32"/>
        </w:rPr>
        <w:t>项目成本指标</w:t>
      </w:r>
    </w:p>
    <w:p w14:paraId="044FE1E4">
      <w:pPr>
        <w:spacing w:line="600" w:lineRule="exact"/>
        <w:ind w:firstLine="640"/>
      </w:pPr>
      <w:r>
        <w:rPr>
          <w:rFonts w:hint="eastAsia"/>
          <w:sz w:val="32"/>
          <w:szCs w:val="32"/>
        </w:rPr>
        <w:t>①经济成本指标</w:t>
      </w:r>
    </w:p>
    <w:p w14:paraId="54E6A301">
      <w:pPr>
        <w:spacing w:line="600" w:lineRule="exact"/>
        <w:ind w:firstLine="640"/>
        <w:rPr>
          <w:rFonts w:ascii="仿宋_GB2312"/>
          <w:sz w:val="32"/>
          <w:szCs w:val="32"/>
        </w:rPr>
      </w:pPr>
      <w:r>
        <w:rPr>
          <w:rFonts w:hint="eastAsia"/>
          <w:sz w:val="32"/>
          <w:szCs w:val="32"/>
        </w:rPr>
        <w:t>“</w:t>
      </w:r>
      <w:r>
        <w:rPr>
          <w:rFonts w:hint="eastAsia" w:ascii="仿宋_GB2312"/>
          <w:sz w:val="32"/>
          <w:szCs w:val="32"/>
        </w:rPr>
        <w:t>设立街道申报材料费（万元）”指标，预期指标值为“小于等于3.58万元”</w:t>
      </w:r>
    </w:p>
    <w:p w14:paraId="0DAA002B">
      <w:pPr>
        <w:spacing w:line="600" w:lineRule="exact"/>
        <w:ind w:firstLine="640"/>
        <w:rPr>
          <w:rFonts w:ascii="仿宋_GB2312"/>
          <w:sz w:val="32"/>
          <w:szCs w:val="32"/>
        </w:rPr>
      </w:pPr>
      <w:r>
        <w:rPr>
          <w:rFonts w:hint="eastAsia" w:ascii="仿宋_GB2312"/>
          <w:sz w:val="32"/>
          <w:szCs w:val="32"/>
        </w:rPr>
        <w:t>“设立街道出差费（万元）”指标，预期指标值为“小于等于0.49万元”。</w:t>
      </w:r>
    </w:p>
    <w:p w14:paraId="342D9AC1">
      <w:pPr>
        <w:spacing w:line="600" w:lineRule="exact"/>
        <w:ind w:firstLine="640"/>
        <w:rPr>
          <w:sz w:val="32"/>
          <w:szCs w:val="32"/>
        </w:rPr>
      </w:pPr>
      <w:r>
        <w:rPr>
          <w:rFonts w:hint="eastAsia"/>
          <w:sz w:val="32"/>
          <w:szCs w:val="32"/>
        </w:rPr>
        <w:t>“</w:t>
      </w:r>
      <w:r>
        <w:rPr>
          <w:rFonts w:hint="eastAsia" w:ascii="仿宋_GB2312"/>
          <w:sz w:val="32"/>
          <w:szCs w:val="32"/>
        </w:rPr>
        <w:t>设立街道工作车辆过路费及加油费（万元）”指</w:t>
      </w:r>
      <w:r>
        <w:rPr>
          <w:rFonts w:hint="eastAsia"/>
          <w:sz w:val="32"/>
          <w:szCs w:val="32"/>
        </w:rPr>
        <w:t>标，预期指标值为“</w:t>
      </w:r>
      <w:r>
        <w:rPr>
          <w:rFonts w:hint="eastAsia" w:ascii="仿宋_GB2312"/>
          <w:sz w:val="32"/>
          <w:szCs w:val="32"/>
        </w:rPr>
        <w:t>小于等于0.23万元”</w:t>
      </w:r>
      <w:r>
        <w:rPr>
          <w:rFonts w:hint="eastAsia"/>
          <w:sz w:val="32"/>
          <w:szCs w:val="32"/>
        </w:rPr>
        <w:t>。</w:t>
      </w:r>
    </w:p>
    <w:p w14:paraId="68733D0A">
      <w:pPr>
        <w:spacing w:line="600" w:lineRule="exact"/>
        <w:ind w:firstLine="640"/>
        <w:rPr>
          <w:sz w:val="32"/>
          <w:szCs w:val="32"/>
        </w:rPr>
      </w:pPr>
      <w:r>
        <w:rPr>
          <w:rFonts w:hint="eastAsia"/>
          <w:sz w:val="32"/>
          <w:szCs w:val="32"/>
        </w:rPr>
        <w:t>（3）项目效益指标</w:t>
      </w:r>
    </w:p>
    <w:p w14:paraId="2837035D">
      <w:pPr>
        <w:spacing w:line="600" w:lineRule="exact"/>
        <w:ind w:firstLine="640"/>
        <w:rPr>
          <w:sz w:val="32"/>
          <w:szCs w:val="32"/>
        </w:rPr>
      </w:pPr>
      <w:r>
        <w:rPr>
          <w:rFonts w:hint="eastAsia"/>
          <w:sz w:val="32"/>
          <w:szCs w:val="32"/>
        </w:rPr>
        <w:t>①经济效益指标</w:t>
      </w:r>
    </w:p>
    <w:p w14:paraId="34A696ED">
      <w:pPr>
        <w:spacing w:line="600" w:lineRule="exact"/>
        <w:ind w:firstLine="640"/>
        <w:rPr>
          <w:sz w:val="32"/>
          <w:szCs w:val="32"/>
        </w:rPr>
      </w:pPr>
      <w:r>
        <w:rPr>
          <w:rFonts w:hint="eastAsia" w:ascii="仿宋_GB2312"/>
          <w:sz w:val="32"/>
          <w:szCs w:val="32"/>
        </w:rPr>
        <w:t>本项目无该项指标。</w:t>
      </w:r>
    </w:p>
    <w:p w14:paraId="0F8A06D2">
      <w:pPr>
        <w:spacing w:line="600" w:lineRule="exact"/>
        <w:ind w:firstLine="640"/>
        <w:rPr>
          <w:sz w:val="32"/>
          <w:szCs w:val="32"/>
        </w:rPr>
      </w:pPr>
      <w:r>
        <w:rPr>
          <w:rFonts w:hint="eastAsia"/>
          <w:sz w:val="32"/>
          <w:szCs w:val="32"/>
        </w:rPr>
        <w:t>②社会效益指标</w:t>
      </w:r>
    </w:p>
    <w:p w14:paraId="2DEC16DC">
      <w:pPr>
        <w:spacing w:line="600" w:lineRule="exact"/>
        <w:ind w:firstLine="640"/>
        <w:rPr>
          <w:rFonts w:ascii="仿宋_GB2312"/>
          <w:sz w:val="32"/>
          <w:szCs w:val="32"/>
        </w:rPr>
      </w:pPr>
      <w:r>
        <w:rPr>
          <w:rFonts w:hint="eastAsia" w:ascii="仿宋_GB2312"/>
          <w:sz w:val="32"/>
          <w:szCs w:val="32"/>
        </w:rPr>
        <w:t>“进一步理顺城市管理体系，便民服务更加细致”指标，预期指标值为“有所改善”；</w:t>
      </w:r>
    </w:p>
    <w:p w14:paraId="6A478928">
      <w:pPr>
        <w:spacing w:line="600" w:lineRule="exact"/>
        <w:ind w:firstLine="640"/>
        <w:rPr>
          <w:sz w:val="32"/>
          <w:szCs w:val="32"/>
        </w:rPr>
      </w:pPr>
      <w:r>
        <w:rPr>
          <w:rFonts w:hint="eastAsia"/>
          <w:sz w:val="32"/>
          <w:szCs w:val="32"/>
        </w:rPr>
        <w:t>③生态效益指标</w:t>
      </w:r>
    </w:p>
    <w:p w14:paraId="484C05A9">
      <w:pPr>
        <w:spacing w:line="600" w:lineRule="exact"/>
        <w:ind w:firstLine="640"/>
        <w:rPr>
          <w:rFonts w:ascii="仿宋_GB2312"/>
          <w:sz w:val="32"/>
          <w:szCs w:val="32"/>
        </w:rPr>
      </w:pPr>
      <w:r>
        <w:rPr>
          <w:rFonts w:hint="eastAsia" w:ascii="仿宋_GB2312"/>
          <w:sz w:val="32"/>
          <w:szCs w:val="32"/>
        </w:rPr>
        <w:t>本项目无该项指标。</w:t>
      </w:r>
    </w:p>
    <w:p w14:paraId="6DCDE2DE">
      <w:pPr>
        <w:spacing w:line="600" w:lineRule="exact"/>
        <w:ind w:firstLine="640"/>
        <w:rPr>
          <w:rFonts w:ascii="仿宋_GB2312"/>
          <w:sz w:val="32"/>
          <w:szCs w:val="32"/>
        </w:rPr>
      </w:pPr>
      <w:r>
        <w:rPr>
          <w:rFonts w:hint="eastAsia" w:ascii="仿宋_GB2312"/>
          <w:sz w:val="32"/>
          <w:szCs w:val="32"/>
        </w:rPr>
        <w:t>（4）相关满意度目标</w:t>
      </w:r>
    </w:p>
    <w:p w14:paraId="586BCFCA">
      <w:pPr>
        <w:spacing w:line="600" w:lineRule="exact"/>
        <w:ind w:firstLine="640"/>
        <w:rPr>
          <w:sz w:val="32"/>
          <w:szCs w:val="32"/>
        </w:rPr>
      </w:pPr>
      <w:r>
        <w:rPr>
          <w:rFonts w:hint="eastAsia" w:ascii="仿宋_GB2312"/>
          <w:sz w:val="32"/>
          <w:szCs w:val="32"/>
        </w:rPr>
        <w:t>“沙湾市居民满意度（%）”指标，预期指标值为“大于等于95%”；</w:t>
      </w:r>
    </w:p>
    <w:p w14:paraId="126250C2">
      <w:pPr>
        <w:pStyle w:val="2"/>
        <w:spacing w:line="600" w:lineRule="exact"/>
        <w:ind w:firstLine="640"/>
        <w:rPr>
          <w:szCs w:val="32"/>
        </w:rPr>
      </w:pPr>
      <w:r>
        <w:rPr>
          <w:rFonts w:hint="eastAsia"/>
          <w:szCs w:val="32"/>
        </w:rPr>
        <w:t>二、绩效评价工作开展情况</w:t>
      </w:r>
    </w:p>
    <w:p w14:paraId="1AA96A91">
      <w:pPr>
        <w:pStyle w:val="3"/>
        <w:numPr>
          <w:ilvl w:val="0"/>
          <w:numId w:val="4"/>
        </w:numPr>
        <w:spacing w:line="600" w:lineRule="exact"/>
        <w:ind w:firstLine="643"/>
        <w:rPr>
          <w:rFonts w:ascii="楷体_GB2312" w:eastAsia="楷体_GB2312"/>
          <w:szCs w:val="32"/>
        </w:rPr>
      </w:pPr>
      <w:bookmarkStart w:id="1" w:name="_Toc5258"/>
      <w:bookmarkStart w:id="2" w:name="_Toc21664"/>
      <w:bookmarkStart w:id="3" w:name="_Toc22169_WPSOffice_Level2"/>
      <w:bookmarkStart w:id="4" w:name="_Toc12868"/>
      <w:bookmarkStart w:id="5" w:name="_Toc5462343"/>
      <w:bookmarkStart w:id="6" w:name="_Toc22922"/>
      <w:bookmarkStart w:id="7" w:name="_Toc480473081"/>
      <w:bookmarkStart w:id="8" w:name="_Toc26632"/>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14:paraId="69A8061E">
      <w:pPr>
        <w:ind w:firstLine="643"/>
        <w:rPr>
          <w:b/>
          <w:bCs/>
          <w:sz w:val="32"/>
          <w:szCs w:val="32"/>
        </w:rPr>
      </w:pPr>
      <w:r>
        <w:rPr>
          <w:rFonts w:hint="eastAsia"/>
          <w:b/>
          <w:bCs/>
          <w:sz w:val="32"/>
          <w:szCs w:val="32"/>
        </w:rPr>
        <w:t>1.绩效评价的目的</w:t>
      </w:r>
    </w:p>
    <w:p w14:paraId="4D7B7267">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354571FC">
      <w:pPr>
        <w:ind w:firstLine="643"/>
        <w:rPr>
          <w:b/>
          <w:bCs/>
          <w:sz w:val="32"/>
          <w:szCs w:val="32"/>
        </w:rPr>
      </w:pPr>
      <w:r>
        <w:rPr>
          <w:rFonts w:hint="eastAsia"/>
          <w:b/>
          <w:bCs/>
          <w:sz w:val="32"/>
          <w:szCs w:val="32"/>
        </w:rPr>
        <w:t>2.绩效评价的对象和范围</w:t>
      </w:r>
    </w:p>
    <w:p w14:paraId="17911D1D">
      <w:pPr>
        <w:ind w:firstLine="640"/>
        <w:rPr>
          <w:rFonts w:ascii="仿宋_GB2312"/>
          <w:color w:val="000000" w:themeColor="text1"/>
          <w:sz w:val="32"/>
          <w:szCs w:val="32"/>
        </w:rPr>
      </w:pPr>
      <w:r>
        <w:rPr>
          <w:rFonts w:hint="eastAsia" w:ascii="仿宋_GB2312" w:hAnsi="仿宋_GB2312" w:cs="仿宋_GB2312"/>
          <w:color w:val="000000" w:themeColor="text1"/>
          <w:sz w:val="32"/>
          <w:szCs w:val="32"/>
        </w:rPr>
        <w:t>本次绩效评价遵循财政部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以及自治区财政厅《自治区财政支出绩效评价管理暂行办法》（新财预〔2018〕189号）等文件规</w:t>
      </w:r>
      <w:r>
        <w:rPr>
          <w:rFonts w:hint="eastAsia" w:ascii="仿宋_GB2312"/>
          <w:color w:val="000000" w:themeColor="text1"/>
          <w:sz w:val="32"/>
          <w:szCs w:val="32"/>
        </w:rPr>
        <w:t>定，对2023年度我单位实施的塔城地区沙湾市四个街道经费出差费材料费项目。</w:t>
      </w:r>
    </w:p>
    <w:p w14:paraId="0B12F472">
      <w:pPr>
        <w:ind w:firstLine="640"/>
        <w:rPr>
          <w:rFonts w:ascii="仿宋_GB2312"/>
          <w:color w:val="000000" w:themeColor="text1"/>
          <w:sz w:val="32"/>
          <w:szCs w:val="32"/>
        </w:rPr>
      </w:pPr>
      <w:r>
        <w:rPr>
          <w:rFonts w:hint="eastAsia" w:ascii="仿宋_GB2312"/>
          <w:color w:val="000000" w:themeColor="text1"/>
          <w:sz w:val="32"/>
          <w:szCs w:val="32"/>
        </w:rPr>
        <w:t>塔城地区沙湾市四个街道经费出差费材料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7D004B8F">
      <w:pPr>
        <w:pStyle w:val="3"/>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14:paraId="23D6BF55">
      <w:pPr>
        <w:ind w:firstLine="643"/>
        <w:rPr>
          <w:b/>
          <w:bCs/>
          <w:sz w:val="32"/>
          <w:szCs w:val="32"/>
        </w:rPr>
      </w:pPr>
      <w:r>
        <w:rPr>
          <w:rFonts w:hint="eastAsia"/>
          <w:b/>
          <w:bCs/>
          <w:sz w:val="32"/>
          <w:szCs w:val="32"/>
        </w:rPr>
        <w:t>1.绩效评价原则</w:t>
      </w:r>
    </w:p>
    <w:p w14:paraId="62E7410B">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000000" w:themeColor="text1"/>
          <w:sz w:val="32"/>
          <w:szCs w:val="32"/>
        </w:rPr>
        <w:t>塔城地区沙湾市四个街道经费出差费材料费项目</w:t>
      </w:r>
      <w:r>
        <w:rPr>
          <w:rFonts w:hint="eastAsia"/>
          <w:sz w:val="32"/>
          <w:szCs w:val="32"/>
        </w:rPr>
        <w:t>实际开展情况，运用定量和定性分析相结合的方法，总结经验做法，反思项目实施和管理中的问题，以切实提升财政资金管理的科学化、规范化和精细化水平。</w:t>
      </w:r>
    </w:p>
    <w:p w14:paraId="3F125121">
      <w:pPr>
        <w:spacing w:line="600" w:lineRule="exact"/>
        <w:ind w:firstLine="640"/>
        <w:rPr>
          <w:sz w:val="32"/>
          <w:szCs w:val="32"/>
        </w:rPr>
      </w:pPr>
      <w:r>
        <w:rPr>
          <w:rFonts w:hint="eastAsia"/>
          <w:sz w:val="32"/>
          <w:szCs w:val="32"/>
        </w:rPr>
        <w:t>根据以上原则，绩效评价遵循如下具体要求：</w:t>
      </w:r>
    </w:p>
    <w:p w14:paraId="04988315">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45150F18">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14:paraId="529951A8">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1CFADCFC">
      <w:pPr>
        <w:ind w:firstLine="643"/>
        <w:rPr>
          <w:b/>
          <w:bCs/>
          <w:sz w:val="32"/>
          <w:szCs w:val="32"/>
        </w:rPr>
      </w:pPr>
      <w:bookmarkStart w:id="9" w:name="_Toc26131"/>
      <w:bookmarkStart w:id="10" w:name="_Toc428278230"/>
      <w:bookmarkStart w:id="11" w:name="_Toc1913"/>
      <w:bookmarkStart w:id="12" w:name="_Toc419984722"/>
      <w:r>
        <w:rPr>
          <w:rFonts w:hint="eastAsia"/>
          <w:b/>
          <w:bCs/>
          <w:sz w:val="32"/>
          <w:szCs w:val="32"/>
        </w:rPr>
        <w:t>2.绩效评价指标体系及绩效评价</w:t>
      </w:r>
      <w:bookmarkEnd w:id="9"/>
      <w:bookmarkEnd w:id="10"/>
      <w:bookmarkEnd w:id="11"/>
      <w:bookmarkEnd w:id="12"/>
      <w:r>
        <w:rPr>
          <w:rFonts w:hint="eastAsia"/>
          <w:b/>
          <w:bCs/>
          <w:sz w:val="32"/>
          <w:szCs w:val="32"/>
        </w:rPr>
        <w:t>标准</w:t>
      </w:r>
    </w:p>
    <w:p w14:paraId="7748D26E">
      <w:pPr>
        <w:spacing w:line="600" w:lineRule="exact"/>
        <w:ind w:firstLine="640"/>
        <w:rPr>
          <w:rFonts w:ascii="仿宋_GB2312"/>
          <w:color w:val="000000" w:themeColor="text1"/>
          <w:sz w:val="32"/>
          <w:szCs w:val="32"/>
        </w:rPr>
      </w:pPr>
      <w:r>
        <w:rPr>
          <w:rFonts w:hint="eastAsia" w:ascii="仿宋_GB2312"/>
          <w:color w:val="000000" w:themeColor="text1"/>
          <w:sz w:val="32"/>
          <w:szCs w:val="32"/>
        </w:rPr>
        <w:t>绩效评价指标体系根据财政部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自治区财政厅《自治区财政支出绩效评价管理暂行办法》（新财预〔2018〕189号）</w:t>
      </w:r>
      <w:r>
        <w:rPr>
          <w:rFonts w:hint="eastAsia" w:ascii="仿宋_GB2312"/>
          <w:color w:val="000000" w:themeColor="text1"/>
          <w:sz w:val="32"/>
          <w:szCs w:val="32"/>
        </w:rPr>
        <w:t>等文件要求，结合本项目特点，在与专家组充分协商的基础上，评价工作组细化了该项目的绩效评价指标体系（详见附表1）：</w:t>
      </w:r>
    </w:p>
    <w:p w14:paraId="1450972B">
      <w:pPr>
        <w:spacing w:line="600" w:lineRule="exact"/>
        <w:ind w:firstLine="640"/>
        <w:rPr>
          <w:rFonts w:ascii="仿宋_GB2312"/>
          <w:color w:val="000000" w:themeColor="text1"/>
          <w:sz w:val="32"/>
          <w:szCs w:val="32"/>
        </w:rPr>
      </w:pPr>
      <w:r>
        <w:rPr>
          <w:rFonts w:hint="eastAsia" w:ascii="仿宋_GB2312"/>
          <w:color w:val="000000" w:themeColor="text1"/>
          <w:sz w:val="32"/>
          <w:szCs w:val="32"/>
        </w:rPr>
        <w:t>一级指标为：决策、产出、成本、效益、满意度。</w:t>
      </w:r>
    </w:p>
    <w:p w14:paraId="6870E86F">
      <w:pPr>
        <w:spacing w:line="600" w:lineRule="exact"/>
        <w:ind w:firstLine="640"/>
        <w:rPr>
          <w:rFonts w:ascii="仿宋_GB2312"/>
          <w:color w:val="000000" w:themeColor="text1"/>
          <w:sz w:val="32"/>
          <w:szCs w:val="32"/>
        </w:rPr>
      </w:pPr>
      <w:r>
        <w:rPr>
          <w:rFonts w:hint="eastAsia" w:ascii="仿宋_GB2312"/>
          <w:color w:val="000000" w:themeColor="text1"/>
          <w:sz w:val="32"/>
          <w:szCs w:val="32"/>
        </w:rPr>
        <w:t>二级指标为：项目立项、绩效目标、资金投入、资金管理、组织实施、产出数量、产出质量、产出时效、经济成本、项目效益。</w:t>
      </w:r>
    </w:p>
    <w:p w14:paraId="0D204D69">
      <w:pPr>
        <w:spacing w:line="600" w:lineRule="exact"/>
        <w:ind w:firstLine="640"/>
        <w:rPr>
          <w:rFonts w:ascii="仿宋_GB2312"/>
          <w:color w:val="000000" w:themeColor="text1"/>
          <w:sz w:val="32"/>
          <w:szCs w:val="32"/>
        </w:rPr>
      </w:pPr>
      <w:r>
        <w:rPr>
          <w:rFonts w:hint="eastAsia" w:ascii="仿宋_GB2312"/>
          <w:color w:val="000000" w:themeColor="text1"/>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0CEDD6DD">
      <w:pPr>
        <w:ind w:firstLine="643"/>
        <w:rPr>
          <w:b/>
          <w:bCs/>
          <w:sz w:val="32"/>
          <w:szCs w:val="32"/>
        </w:rPr>
      </w:pPr>
      <w:r>
        <w:rPr>
          <w:rFonts w:hint="eastAsia"/>
          <w:b/>
          <w:bCs/>
          <w:sz w:val="32"/>
          <w:szCs w:val="32"/>
        </w:rPr>
        <w:t>3.评价方法</w:t>
      </w:r>
    </w:p>
    <w:p w14:paraId="2D1D5057">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39052A59">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4ECB85AC">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3FA32C8B">
      <w:pPr>
        <w:ind w:firstLine="643"/>
        <w:rPr>
          <w:b/>
          <w:bCs/>
          <w:sz w:val="32"/>
          <w:szCs w:val="32"/>
        </w:rPr>
      </w:pPr>
      <w:r>
        <w:rPr>
          <w:rFonts w:hint="eastAsia"/>
          <w:b/>
          <w:bCs/>
          <w:sz w:val="32"/>
          <w:szCs w:val="32"/>
        </w:rPr>
        <w:t>4.评价标准</w:t>
      </w:r>
    </w:p>
    <w:p w14:paraId="14B9E219">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71461767">
      <w:pPr>
        <w:pStyle w:val="3"/>
        <w:spacing w:line="600" w:lineRule="exact"/>
        <w:ind w:left="420" w:firstLine="0" w:firstLineChars="0"/>
        <w:rPr>
          <w:szCs w:val="32"/>
        </w:rPr>
      </w:pPr>
      <w:r>
        <w:rPr>
          <w:rFonts w:hint="eastAsia"/>
          <w:szCs w:val="32"/>
        </w:rPr>
        <w:t>（三）绩效评价工作过程</w:t>
      </w:r>
    </w:p>
    <w:p w14:paraId="79213688">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4434FA22">
      <w:pPr>
        <w:pStyle w:val="21"/>
        <w:spacing w:line="600" w:lineRule="exact"/>
        <w:ind w:firstLine="640"/>
        <w:rPr>
          <w:rFonts w:ascii="仿宋_GB2312" w:hAnsi="仿宋_GB2312" w:cs="仿宋_GB2312"/>
          <w:color w:val="FF0000"/>
          <w:sz w:val="32"/>
          <w:szCs w:val="32"/>
        </w:rPr>
      </w:pPr>
      <w:r>
        <w:rPr>
          <w:rFonts w:hint="eastAsia" w:ascii="仿宋_GB2312" w:hAnsi="仿宋" w:cs="仿宋"/>
          <w:color w:val="000000"/>
          <w:sz w:val="32"/>
          <w:szCs w:val="32"/>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6AB0E9D0">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民政局党组成员、副局长杨国刚任评价组组长，绩效评价工作职责为检查项目绩效指标完成情况、审定项目支出绩效评价结果及项目支出绩效评价报告。</w:t>
      </w:r>
    </w:p>
    <w:p w14:paraId="7ABFE337">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财务室主任刘艳任评价组副组长，绩效评价工作职责为组织和协调项目工作人员采取实地调查、资料检查等方式，核实项目绩效指标完成情况；组织受益对象对项目工作进行评价等。</w:t>
      </w:r>
    </w:p>
    <w:p w14:paraId="05694DC8">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CN"/>
        </w:rPr>
        <w:t>人民政府</w:t>
      </w:r>
      <w:r>
        <w:rPr>
          <w:rFonts w:hint="eastAsia" w:ascii="仿宋_GB2312" w:hAnsi="仿宋_GB2312" w:cs="仿宋_GB2312"/>
          <w:sz w:val="32"/>
          <w:szCs w:val="32"/>
        </w:rPr>
        <w:t>办公室主任赵永乐任评价组成员，绩效评价工作职责为做好项目支出绩效评价工作的沟通协调工作，对项目实施情况进行实地调查，编写项目支出绩效评价报告。</w:t>
      </w:r>
    </w:p>
    <w:p w14:paraId="76E4F953">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5C78C722">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089DC1E5">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6AA20190">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2A5F7868">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14:paraId="30C3EC5D">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2F06804B">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14:paraId="4F1D3209">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00C7ED7C">
      <w:pPr>
        <w:pStyle w:val="2"/>
        <w:numPr>
          <w:ilvl w:val="0"/>
          <w:numId w:val="5"/>
        </w:numPr>
        <w:spacing w:line="600" w:lineRule="exact"/>
        <w:ind w:firstLine="640"/>
        <w:rPr>
          <w:szCs w:val="32"/>
        </w:rPr>
      </w:pPr>
      <w:r>
        <w:rPr>
          <w:rFonts w:hint="eastAsia"/>
          <w:szCs w:val="32"/>
        </w:rPr>
        <w:t>综合评价情况及评价结论</w:t>
      </w:r>
    </w:p>
    <w:p w14:paraId="118D3176">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14:paraId="1B872624">
      <w:pPr>
        <w:spacing w:line="600" w:lineRule="exact"/>
        <w:ind w:firstLine="640"/>
        <w:rPr>
          <w:rFonts w:ascii="仿宋_GB2312"/>
          <w:sz w:val="32"/>
          <w:szCs w:val="32"/>
        </w:rPr>
      </w:pPr>
      <w:r>
        <w:rPr>
          <w:rFonts w:hint="eastAsia" w:ascii="仿宋_GB2312"/>
          <w:sz w:val="32"/>
          <w:szCs w:val="32"/>
        </w:rPr>
        <w:t>通过塔城地区沙湾市四个街道经费出差费材料费项目的实施，解决了城市管理服务体系建设不均衡的问</w:t>
      </w:r>
      <w:r>
        <w:rPr>
          <w:rFonts w:hint="eastAsia" w:ascii="仿宋_GB2312"/>
          <w:color w:val="000000" w:themeColor="text1"/>
          <w:sz w:val="32"/>
          <w:szCs w:val="32"/>
        </w:rPr>
        <w:t>题，</w:t>
      </w:r>
      <w:r>
        <w:rPr>
          <w:rFonts w:hint="eastAsia" w:ascii="仿宋_GB2312"/>
          <w:sz w:val="32"/>
          <w:szCs w:val="32"/>
        </w:rPr>
        <w:t>实现了</w:t>
      </w:r>
      <w:r>
        <w:rPr>
          <w:rFonts w:hint="eastAsia" w:ascii="仿宋_GB2312" w:hAnsi="仿宋_GB2312" w:cs="仿宋_GB2312"/>
          <w:sz w:val="32"/>
          <w:szCs w:val="32"/>
        </w:rPr>
        <w:t>“城市-街道-社区”三级管理模式，有利于城乡管理体制融合统一，必然促使各项经济要素尽最大限度地物尽其用，为人才流动、资金投放、资源配置、市场调节、信息共享等提供更加优越的环境</w:t>
      </w:r>
      <w:r>
        <w:rPr>
          <w:rFonts w:hint="eastAsia" w:ascii="仿宋_GB2312"/>
          <w:color w:val="000000" w:themeColor="text1"/>
          <w:sz w:val="32"/>
          <w:szCs w:val="32"/>
        </w:rPr>
        <w:t>效益，</w:t>
      </w:r>
      <w:r>
        <w:rPr>
          <w:rFonts w:hint="eastAsia" w:ascii="仿宋_GB2312"/>
          <w:sz w:val="32"/>
          <w:szCs w:val="32"/>
        </w:rPr>
        <w:t>该项目预算执行率</w:t>
      </w:r>
      <w:r>
        <w:rPr>
          <w:rFonts w:hint="eastAsia" w:ascii="仿宋_GB2312" w:hAnsi="仿宋_GB2312" w:cs="仿宋_GB2312"/>
          <w:sz w:val="32"/>
          <w:szCs w:val="32"/>
        </w:rPr>
        <w:t>达100%，项目</w:t>
      </w:r>
      <w:r>
        <w:rPr>
          <w:rFonts w:hint="eastAsia" w:ascii="仿宋_GB2312"/>
          <w:sz w:val="32"/>
          <w:szCs w:val="32"/>
        </w:rPr>
        <w:t>预期绩效目标及各项具体指标均已全部达成。</w:t>
      </w:r>
    </w:p>
    <w:p w14:paraId="60702094">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14:paraId="5E83B97D">
      <w:pPr>
        <w:spacing w:line="600" w:lineRule="exact"/>
        <w:ind w:firstLine="640"/>
        <w:rPr>
          <w:rFonts w:ascii="仿宋_GB2312"/>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塔城地区沙湾市四个街道经费出差费材料费项目的绩效目标和各项具体绩效指标实现情况进行了客观评价，最终评分为100分。绩效评级为“优”，具体得分情况为：项目决策15分、项目过程15分、项目产出40分、项目效益30分。</w:t>
      </w:r>
    </w:p>
    <w:p w14:paraId="20B02DB8">
      <w:pPr>
        <w:pStyle w:val="2"/>
        <w:spacing w:line="600" w:lineRule="exact"/>
        <w:ind w:firstLine="640"/>
        <w:rPr>
          <w:szCs w:val="32"/>
        </w:rPr>
      </w:pPr>
      <w:r>
        <w:rPr>
          <w:rFonts w:hint="eastAsia"/>
          <w:szCs w:val="32"/>
        </w:rPr>
        <w:t>四、绩效评价指标分析</w:t>
      </w:r>
    </w:p>
    <w:p w14:paraId="468262EE">
      <w:pPr>
        <w:pStyle w:val="3"/>
        <w:spacing w:line="600" w:lineRule="exact"/>
        <w:ind w:firstLine="643"/>
        <w:rPr>
          <w:rFonts w:ascii="楷体_GB2312" w:eastAsia="楷体_GB2312"/>
          <w:szCs w:val="32"/>
        </w:rPr>
      </w:pPr>
      <w:r>
        <w:rPr>
          <w:rFonts w:hint="eastAsia" w:ascii="楷体_GB2312" w:eastAsia="楷体_GB2312"/>
          <w:szCs w:val="32"/>
        </w:rPr>
        <w:t>（一）项目决策情况</w:t>
      </w:r>
    </w:p>
    <w:p w14:paraId="04FB6988">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 15 分，本项目实际得分15分，得分率为100%。具体各项指标得分如下：</w:t>
      </w:r>
    </w:p>
    <w:p w14:paraId="5AA3F2EA">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1.立项依据充分性：本项目是由</w:t>
      </w:r>
      <w:r>
        <w:rPr>
          <w:rFonts w:hint="eastAsia" w:ascii="仿宋_GB2312" w:hAnsi="仿宋_GB2312" w:cs="仿宋_GB2312"/>
          <w:sz w:val="32"/>
          <w:szCs w:val="32"/>
          <w:lang w:eastAsia="zh-CN"/>
        </w:rPr>
        <w:t>市委、市政府</w:t>
      </w:r>
      <w:r>
        <w:rPr>
          <w:rFonts w:hint="eastAsia" w:ascii="仿宋_GB2312" w:hAnsi="仿宋_GB2312" w:cs="仿宋_GB2312"/>
          <w:sz w:val="32"/>
          <w:szCs w:val="32"/>
        </w:rPr>
        <w:t>提出申报，于2023年4月批复设立，2021年我单位根据自治区人民政府印发《关于撤销沙湾县设立县级沙湾市的通知》（新政发〔2021〕12号）要求，组织实施该项目。项目立项符合国家法律法规、自治区和地区行业发展规划和政策要求，属于本部门履职所需。根据评分标准，该指标2.5分，得2.5分。</w:t>
      </w:r>
    </w:p>
    <w:p w14:paraId="30AD4899">
      <w:pPr>
        <w:pStyle w:val="24"/>
        <w:spacing w:line="600" w:lineRule="exact"/>
        <w:ind w:firstLine="736"/>
        <w:rPr>
          <w:rFonts w:hAnsi="仿宋_GB2312" w:cs="仿宋_GB2312"/>
          <w:color w:val="auto"/>
          <w:spacing w:val="0"/>
        </w:rPr>
      </w:pPr>
      <w:r>
        <w:rPr>
          <w:rFonts w:hint="eastAsia" w:cs="仿宋_GB2312"/>
          <w:b/>
          <w:bCs/>
        </w:rPr>
        <w:t>2.立项程序规范性：</w:t>
      </w:r>
      <w:r>
        <w:rPr>
          <w:rFonts w:hint="eastAsia" w:hAnsi="仿宋_GB2312" w:cs="仿宋_GB2312"/>
          <w:color w:val="auto"/>
          <w:spacing w:val="0"/>
        </w:rPr>
        <w:t>根据决策依据编制工作计划和经费预算，经过与部门市政府分管领导进行沟通、筛选确定经费预算计划，上党组会研究确定最终预算方案。根据评分标准，该指标2.5分，得2.5分。</w:t>
      </w:r>
    </w:p>
    <w:p w14:paraId="21AE8ADD">
      <w:pPr>
        <w:spacing w:line="600" w:lineRule="exact"/>
        <w:ind w:firstLine="643"/>
        <w:rPr>
          <w:rFonts w:ascii="仿宋_GB2312" w:hAns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hAnsi="仿宋_GB2312" w:cs="仿宋_GB2312"/>
          <w:sz w:val="32"/>
          <w:szCs w:val="32"/>
        </w:rPr>
        <w:t>本项目制定了项目支出绩效目标，明确了项目总体思路及总目标、并对项目任务进行了详细分解，对目标进行了细化。根据评分标准，该指标3分，得3分。</w:t>
      </w:r>
    </w:p>
    <w:p w14:paraId="4B14F2DC">
      <w:pPr>
        <w:spacing w:line="600" w:lineRule="exact"/>
        <w:ind w:firstLine="643"/>
        <w:rPr>
          <w:rFonts w:ascii="仿宋_GB2312" w:hAnsi="仿宋_GB2312" w:cs="仿宋_GB2312"/>
          <w:sz w:val="32"/>
          <w:szCs w:val="32"/>
        </w:rPr>
      </w:pPr>
      <w:r>
        <w:rPr>
          <w:rFonts w:hint="eastAsia" w:ascii="仿宋_GB2312" w:cs="仿宋_GB2312"/>
          <w:b/>
          <w:bCs/>
          <w:sz w:val="32"/>
          <w:szCs w:val="32"/>
        </w:rPr>
        <w:t>4.绩效指标明确性：</w:t>
      </w:r>
      <w:r>
        <w:rPr>
          <w:rFonts w:hint="eastAsia" w:ascii="仿宋_GB2312" w:hAnsi="仿宋_GB2312" w:cs="仿宋_GB2312"/>
          <w:sz w:val="32"/>
          <w:szCs w:val="32"/>
        </w:rPr>
        <w:t>本项目已将项目绩效目标细化分解为具体的绩效指标，并通过清晰、可衡量的指标值予以体现，与项目目标任务数或计划数相对应。根据评分标准，该指标2分，得2分。</w:t>
      </w:r>
    </w:p>
    <w:p w14:paraId="18E1A55E">
      <w:pPr>
        <w:spacing w:line="600" w:lineRule="exact"/>
        <w:ind w:firstLine="643"/>
        <w:rPr>
          <w:rFonts w:ascii="仿宋_GB2312" w:hAnsi="仿宋_GB2312" w:cs="仿宋_GB2312"/>
          <w:sz w:val="32"/>
          <w:szCs w:val="32"/>
        </w:rPr>
      </w:pPr>
      <w:r>
        <w:rPr>
          <w:rFonts w:hint="eastAsia" w:ascii="仿宋_GB2312" w:cs="仿宋_GB2312"/>
          <w:b/>
          <w:bCs/>
          <w:sz w:val="32"/>
          <w:szCs w:val="32"/>
        </w:rPr>
        <w:t>5.预算编制科学性：</w:t>
      </w:r>
      <w:r>
        <w:rPr>
          <w:rFonts w:hint="eastAsia" w:ascii="仿宋_GB2312" w:cs="仿宋_GB2312"/>
          <w:sz w:val="32"/>
          <w:szCs w:val="32"/>
        </w:rPr>
        <w:t xml:space="preserve"> </w:t>
      </w:r>
      <w:r>
        <w:rPr>
          <w:rFonts w:hint="eastAsia" w:ascii="仿宋_GB2312" w:hAnsi="仿宋_GB2312" w:cs="仿宋_GB2312"/>
          <w:sz w:val="32"/>
          <w:szCs w:val="32"/>
        </w:rPr>
        <w:t>预算编制经过科学论证，内容与项目内容匹配，项目投资额与工作任务相匹配，根据评分标准，该指标3分，得3分。</w:t>
      </w:r>
    </w:p>
    <w:p w14:paraId="77E54D8B">
      <w:pPr>
        <w:spacing w:line="600" w:lineRule="exact"/>
        <w:ind w:firstLine="643"/>
        <w:rPr>
          <w:rFonts w:ascii="仿宋_GB2312" w:hAnsi="仿宋_GB2312" w:cs="仿宋_GB2312"/>
          <w:sz w:val="32"/>
          <w:szCs w:val="32"/>
        </w:rPr>
      </w:pPr>
      <w:r>
        <w:rPr>
          <w:rFonts w:hint="eastAsia" w:ascii="仿宋_GB2312" w:cs="仿宋_GB2312"/>
          <w:b/>
          <w:bCs/>
          <w:sz w:val="32"/>
          <w:szCs w:val="32"/>
        </w:rPr>
        <w:t>6.资金分配合理性：</w:t>
      </w:r>
      <w:r>
        <w:rPr>
          <w:rFonts w:hint="eastAsia" w:ascii="仿宋_GB2312" w:hAnsi="仿宋_GB2312" w:cs="仿宋_GB2312"/>
          <w:sz w:val="32"/>
          <w:szCs w:val="32"/>
        </w:rPr>
        <w:t>本项目资金分配依据充分，资金分配额度合理，与项目地方实际相适应。根据评分标准，该指标2分，得2分。</w:t>
      </w:r>
    </w:p>
    <w:p w14:paraId="2F95DC5B">
      <w:pPr>
        <w:pStyle w:val="3"/>
        <w:spacing w:line="600" w:lineRule="exact"/>
        <w:ind w:firstLine="643"/>
        <w:rPr>
          <w:rFonts w:ascii="楷体_GB2312" w:eastAsia="楷体_GB2312"/>
          <w:szCs w:val="32"/>
        </w:rPr>
      </w:pPr>
      <w:r>
        <w:rPr>
          <w:rFonts w:hint="eastAsia" w:ascii="楷体_GB2312" w:eastAsia="楷体_GB2312"/>
          <w:szCs w:val="32"/>
        </w:rPr>
        <w:t>（二）项目过程情况</w:t>
      </w:r>
    </w:p>
    <w:p w14:paraId="615876E1">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权重分值为 15 分，本项目实际得分15分，得分率为100%。具体各项指标得分如下</w:t>
      </w:r>
      <w:r>
        <w:rPr>
          <w:rFonts w:ascii="仿宋_GB2312" w:hAnsi="仿宋_GB2312" w:cs="仿宋_GB2312"/>
          <w:sz w:val="32"/>
          <w:szCs w:val="32"/>
        </w:rPr>
        <w:t>：</w:t>
      </w:r>
    </w:p>
    <w:p w14:paraId="6E17D43A">
      <w:pPr>
        <w:spacing w:line="600" w:lineRule="exact"/>
        <w:ind w:firstLine="643"/>
        <w:rPr>
          <w:rFonts w:ascii="仿宋_GB2312" w:cs="仿宋_GB2312"/>
          <w:color w:val="FF0000"/>
          <w:sz w:val="32"/>
          <w:szCs w:val="32"/>
        </w:rPr>
      </w:pPr>
      <w:r>
        <w:rPr>
          <w:rFonts w:hint="eastAsia" w:ascii="仿宋_GB2312" w:cs="仿宋_GB2312"/>
          <w:b/>
          <w:bCs/>
          <w:sz w:val="32"/>
          <w:szCs w:val="32"/>
        </w:rPr>
        <w:t>1.资金到位率：</w:t>
      </w:r>
      <w:r>
        <w:rPr>
          <w:rFonts w:hint="eastAsia" w:ascii="仿宋_GB2312" w:hAnsi="仿宋_GB2312" w:cs="仿宋_GB2312"/>
          <w:sz w:val="32"/>
          <w:szCs w:val="32"/>
        </w:rPr>
        <w:t xml:space="preserve">该项目所需财政资金能够足额拨付到位，牵头单位能够及时足额按照合同约定将专项资金拨付给单位，根据评分标准，该指标2分，得2分。   </w:t>
      </w:r>
    </w:p>
    <w:p w14:paraId="19160C7E">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2.预算执行率：本项目预算编制较为详细，预算资金4.3万元，实际执行4.3万元，预算执行率为100%。该指标2分，得2分。</w:t>
      </w:r>
    </w:p>
    <w:p w14:paraId="6939F8B8">
      <w:pPr>
        <w:spacing w:line="600" w:lineRule="exact"/>
        <w:ind w:firstLine="643"/>
        <w:rPr>
          <w:rFonts w:ascii="仿宋_GB2312" w:hAnsi="仿宋_GB2312" w:cs="仿宋_GB2312"/>
          <w:sz w:val="32"/>
          <w:szCs w:val="32"/>
        </w:rPr>
      </w:pPr>
      <w:r>
        <w:rPr>
          <w:rFonts w:hint="eastAsia" w:ascii="仿宋_GB2312" w:cs="仿宋_GB2312"/>
          <w:b/>
          <w:bCs/>
          <w:sz w:val="32"/>
          <w:szCs w:val="32"/>
        </w:rPr>
        <w:t>3.资金使用合规性：</w:t>
      </w:r>
      <w:r>
        <w:rPr>
          <w:rFonts w:hint="eastAsia" w:ascii="仿宋_GB2312" w:hAnsi="仿宋_GB2312" w:cs="仿宋_GB2312"/>
          <w:sz w:val="32"/>
          <w:szCs w:val="32"/>
        </w:rPr>
        <w:t>项目任务下达后，我单位拟定了撤销三道河子镇设立四个街道所产生的费用支出及人员出差费工作方案，严格按照程序采购和制度报销经费；根据评分标准，该指标3分，得3分。</w:t>
      </w:r>
    </w:p>
    <w:p w14:paraId="091F332D">
      <w:pPr>
        <w:spacing w:line="600" w:lineRule="exact"/>
        <w:ind w:firstLine="643"/>
        <w:rPr>
          <w:rFonts w:ascii="仿宋_GB2312" w:hAnsi="仿宋_GB2312" w:cs="仿宋_GB2312"/>
          <w:sz w:val="32"/>
          <w:szCs w:val="32"/>
        </w:rPr>
      </w:pPr>
      <w:r>
        <w:rPr>
          <w:rFonts w:hint="eastAsia" w:ascii="仿宋_GB2312" w:cs="仿宋_GB2312"/>
          <w:b/>
          <w:bCs/>
          <w:sz w:val="32"/>
          <w:szCs w:val="32"/>
        </w:rPr>
        <w:t>4.管理制度健全性：</w:t>
      </w:r>
      <w:r>
        <w:rPr>
          <w:rFonts w:hint="eastAsia" w:ascii="仿宋_GB2312" w:hAnsi="仿宋_GB2312" w:cs="仿宋_GB2312"/>
          <w:sz w:val="32"/>
          <w:szCs w:val="32"/>
        </w:rPr>
        <w:t>我单位经过局务会研究，明确撤销三道河子镇设立四个街道工作方法和申报程序等相关项目管理办法，同时对财政专项资金进行严格管理，基本做到了专款专用，根据评分标准，该指标4分，得4分。</w:t>
      </w:r>
    </w:p>
    <w:p w14:paraId="57C721AE">
      <w:pPr>
        <w:spacing w:line="600" w:lineRule="exact"/>
        <w:ind w:firstLine="643"/>
        <w:rPr>
          <w:rFonts w:ascii="仿宋_GB2312" w:hAns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hAnsi="仿宋_GB2312" w:cs="仿宋_GB2312"/>
          <w:sz w:val="32"/>
          <w:szCs w:val="32"/>
        </w:rPr>
        <w:t>由部门提出经费预算支出可行性方案，经过与市政府分管领导沟通后，报党组会议研究执行，财务对资金的使用合法合规性进行监督，年底对资金使用效果进行自评，根据评分标准，该指标4分，得4分。</w:t>
      </w:r>
    </w:p>
    <w:p w14:paraId="5CC157AC">
      <w:pPr>
        <w:pStyle w:val="3"/>
        <w:spacing w:line="600" w:lineRule="exact"/>
        <w:ind w:firstLine="643"/>
        <w:rPr>
          <w:rFonts w:ascii="楷体_GB2312" w:eastAsia="楷体_GB2312"/>
          <w:szCs w:val="32"/>
        </w:rPr>
      </w:pPr>
      <w:r>
        <w:rPr>
          <w:rFonts w:hint="eastAsia" w:ascii="楷体_GB2312" w:eastAsia="楷体_GB2312"/>
          <w:szCs w:val="32"/>
        </w:rPr>
        <w:t>（三）项目产出情况</w:t>
      </w:r>
    </w:p>
    <w:p w14:paraId="0BA39CFF">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项目产出类指标包括产出数量、产出质量、产出时效、产出成本共四方面的内容，由4个三级指标构成，权重分为40分，本项目实际得分40分，得分率为100%。具体各项指标得分如下：</w:t>
      </w:r>
    </w:p>
    <w:p w14:paraId="0DA8D9AD">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14:paraId="1420B363">
      <w:pPr>
        <w:spacing w:line="600" w:lineRule="exact"/>
        <w:ind w:firstLine="640"/>
        <w:rPr>
          <w:rFonts w:ascii="仿宋_GB2312" w:cs="仿宋_GB2312"/>
          <w:sz w:val="32"/>
          <w:szCs w:val="32"/>
        </w:rPr>
      </w:pPr>
      <w:r>
        <w:rPr>
          <w:rFonts w:hint="eastAsia" w:ascii="仿宋_GB2312" w:cs="仿宋_GB2312"/>
          <w:sz w:val="32"/>
          <w:szCs w:val="32"/>
        </w:rPr>
        <w:t>“制作设立街道申报资料数量（套）”指标，预期指标值为“大于等于4个”，根据上级部门会议人手一本工作要求，</w:t>
      </w:r>
      <w:r>
        <w:rPr>
          <w:rFonts w:hint="eastAsia" w:ascii="仿宋_GB2312" w:hAnsi="仿宋_GB2312" w:cs="仿宋_GB2312"/>
          <w:color w:val="000000" w:themeColor="text1"/>
          <w:sz w:val="32"/>
          <w:szCs w:val="32"/>
        </w:rPr>
        <w:t>实际完成多轮商议撤销三道河子镇设立街道</w:t>
      </w:r>
      <w:r>
        <w:rPr>
          <w:rFonts w:hint="eastAsia" w:ascii="仿宋_GB2312" w:hAnsi="仿宋_GB2312" w:cs="仿宋_GB2312"/>
          <w:color w:val="FF0000"/>
          <w:sz w:val="32"/>
          <w:szCs w:val="32"/>
        </w:rPr>
        <w:t>，</w:t>
      </w:r>
      <w:r>
        <w:rPr>
          <w:rFonts w:hint="eastAsia" w:ascii="仿宋_GB2312" w:hAnsi="仿宋_GB2312" w:cs="仿宋_GB2312"/>
          <w:color w:val="000000" w:themeColor="text1"/>
          <w:sz w:val="32"/>
          <w:szCs w:val="32"/>
        </w:rPr>
        <w:t>与预期目标一致，根据评分标准</w:t>
      </w:r>
      <w:r>
        <w:rPr>
          <w:rFonts w:hint="eastAsia" w:ascii="仿宋_GB2312" w:cs="仿宋_GB2312"/>
          <w:sz w:val="32"/>
          <w:szCs w:val="32"/>
        </w:rPr>
        <w:t>，该指标10分，得10分。</w:t>
      </w:r>
    </w:p>
    <w:p w14:paraId="08DCB73B">
      <w:pPr>
        <w:spacing w:line="600" w:lineRule="exact"/>
        <w:ind w:firstLine="643"/>
        <w:rPr>
          <w:rFonts w:ascii="仿宋_GB2312"/>
          <w:b/>
          <w:bCs/>
          <w:sz w:val="32"/>
        </w:rPr>
      </w:pPr>
      <w:r>
        <w:rPr>
          <w:rFonts w:hint="eastAsia" w:ascii="仿宋_GB2312"/>
          <w:b/>
          <w:bCs/>
          <w:sz w:val="32"/>
        </w:rPr>
        <w:t>2.产出质量</w:t>
      </w:r>
    </w:p>
    <w:p w14:paraId="5CB1BB48">
      <w:pPr>
        <w:spacing w:line="600" w:lineRule="exact"/>
        <w:ind w:firstLine="640"/>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项目申报资料完成合格率”指标，预期指标值为“等于100%”，根据自治区民政厅先预审再申报的工作要求，伊犁哈萨克自治州人民政府受理设街道相关资料可知，实际完成申报审批流程，指标完成率为100%，该指标10分，得10分。</w:t>
      </w:r>
    </w:p>
    <w:p w14:paraId="039145B4">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14:paraId="380278A5">
      <w:pPr>
        <w:spacing w:line="600" w:lineRule="exact"/>
        <w:ind w:firstLine="640"/>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“资金支付及时率（%）”指标，预期指标值为“等于100%”，根据申报资料资金支付和经费报销可知，实际完成全部的资金支付，指标完成率为100%，根据评分标准，该指标5分，得5分。</w:t>
      </w:r>
    </w:p>
    <w:p w14:paraId="4B2F4B34">
      <w:pPr>
        <w:spacing w:line="600" w:lineRule="exact"/>
        <w:ind w:firstLine="640"/>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“项目完成时间”指标，预期指标值为“2023年12月25日%”，根据设立街道批复可知，实际完成申报审批工作，指标完成率为100%，根据评分标准，该指标5分，得5分。</w:t>
      </w:r>
    </w:p>
    <w:p w14:paraId="1BFA6011">
      <w:pPr>
        <w:pStyle w:val="6"/>
        <w:numPr>
          <w:ilvl w:val="0"/>
          <w:numId w:val="6"/>
        </w:numPr>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产出成本</w:t>
      </w:r>
    </w:p>
    <w:p w14:paraId="5D28CBB9">
      <w:pPr>
        <w:spacing w:line="600" w:lineRule="exact"/>
        <w:ind w:firstLine="640"/>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经济成本设立街道申报材料费（万元）指标，预期指标值为“小于等于3.58万元”，实际完成值为3.58万元，</w:t>
      </w:r>
      <w:r>
        <w:rPr>
          <w:rFonts w:hint="eastAsia" w:ascii="仿宋_GB2312"/>
          <w:sz w:val="32"/>
          <w:szCs w:val="32"/>
        </w:rPr>
        <w:t>“设立街道出差费（万元）”指标，预期指标值为“小于等于0.49万元”，</w:t>
      </w:r>
      <w:r>
        <w:rPr>
          <w:rFonts w:hint="eastAsia" w:ascii="仿宋_GB2312" w:hAnsi="仿宋_GB2312" w:cs="仿宋_GB2312"/>
          <w:color w:val="000000" w:themeColor="text1"/>
          <w:sz w:val="32"/>
          <w:szCs w:val="32"/>
        </w:rPr>
        <w:t>实际完成值为0.49万元</w:t>
      </w:r>
      <w:r>
        <w:rPr>
          <w:rFonts w:hint="eastAsia" w:ascii="仿宋_GB2312"/>
          <w:sz w:val="32"/>
          <w:szCs w:val="32"/>
        </w:rPr>
        <w:t>。</w:t>
      </w:r>
      <w:r>
        <w:rPr>
          <w:rFonts w:hint="eastAsia"/>
          <w:sz w:val="32"/>
          <w:szCs w:val="32"/>
        </w:rPr>
        <w:t>“</w:t>
      </w:r>
      <w:r>
        <w:rPr>
          <w:rFonts w:hint="eastAsia" w:ascii="仿宋_GB2312"/>
          <w:sz w:val="32"/>
          <w:szCs w:val="32"/>
        </w:rPr>
        <w:t>设立街道工作车辆过路费及加油费（万元）”指</w:t>
      </w:r>
      <w:r>
        <w:rPr>
          <w:rFonts w:hint="eastAsia"/>
          <w:sz w:val="32"/>
          <w:szCs w:val="32"/>
        </w:rPr>
        <w:t>标，预期指标值为“</w:t>
      </w:r>
      <w:r>
        <w:rPr>
          <w:rFonts w:hint="eastAsia" w:ascii="仿宋_GB2312"/>
          <w:sz w:val="32"/>
          <w:szCs w:val="32"/>
        </w:rPr>
        <w:t>小于等于0.23万元”</w:t>
      </w:r>
      <w:r>
        <w:rPr>
          <w:rFonts w:hint="eastAsia"/>
          <w:sz w:val="32"/>
          <w:szCs w:val="32"/>
        </w:rPr>
        <w:t>。</w:t>
      </w:r>
      <w:r>
        <w:rPr>
          <w:rFonts w:hint="eastAsia" w:ascii="仿宋_GB2312" w:hAnsi="仿宋_GB2312" w:cs="仿宋_GB2312"/>
          <w:color w:val="000000" w:themeColor="text1"/>
          <w:sz w:val="32"/>
          <w:szCs w:val="32"/>
        </w:rPr>
        <w:t>实际完成值为0.23万元。根据资金支付凭证显示，本项目202</w:t>
      </w:r>
      <w:r>
        <w:rPr>
          <w:rFonts w:ascii="仿宋_GB2312" w:hAnsi="仿宋_GB2312" w:cs="仿宋_GB2312"/>
          <w:color w:val="000000" w:themeColor="text1"/>
          <w:sz w:val="32"/>
          <w:szCs w:val="32"/>
        </w:rPr>
        <w:t>3</w:t>
      </w:r>
      <w:r>
        <w:rPr>
          <w:rFonts w:hint="eastAsia" w:ascii="仿宋_GB2312" w:hAnsi="仿宋_GB2312" w:cs="仿宋_GB2312"/>
          <w:color w:val="000000" w:themeColor="text1"/>
          <w:sz w:val="32"/>
          <w:szCs w:val="32"/>
        </w:rPr>
        <w:t>年共计支付资金4.3万元，经费支出能够控制在年度计划成本范围内，根据评分标准，该指标10分，得10分。</w:t>
      </w:r>
    </w:p>
    <w:p w14:paraId="5880B48A">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（四）项目效益情况</w:t>
      </w:r>
    </w:p>
    <w:p w14:paraId="29536060">
      <w:pPr>
        <w:overflowPunct w:val="0"/>
        <w:spacing w:line="600" w:lineRule="exact"/>
        <w:ind w:firstLine="640"/>
        <w:contextualSpacing/>
        <w:rPr>
          <w:rFonts w:ascii="仿宋_GB2312" w:hAnsi="仿宋_GB2312" w:cs="仿宋_GB2312"/>
          <w:sz w:val="32"/>
          <w:szCs w:val="32"/>
        </w:rPr>
      </w:pPr>
      <w:r>
        <w:rPr>
          <w:rFonts w:hint="eastAsia"/>
          <w:color w:val="000000"/>
          <w:sz w:val="32"/>
          <w:szCs w:val="32"/>
          <w:u w:color="000000"/>
          <w:lang w:val="zh-TW" w:eastAsia="zh-TW"/>
        </w:rPr>
        <w:t>项目</w:t>
      </w:r>
      <w:r>
        <w:rPr>
          <w:rFonts w:hint="eastAsia" w:ascii="仿宋_GB2312"/>
          <w:sz w:val="32"/>
          <w:szCs w:val="32"/>
        </w:rPr>
        <w:t>效益</w:t>
      </w:r>
      <w:r>
        <w:rPr>
          <w:rFonts w:hint="eastAsia"/>
          <w:color w:val="000000"/>
          <w:sz w:val="32"/>
          <w:szCs w:val="32"/>
          <w:u w:color="000000"/>
          <w:lang w:val="zh-TW" w:eastAsia="zh-TW"/>
        </w:rPr>
        <w:t>类指标由</w:t>
      </w:r>
      <w:r>
        <w:rPr>
          <w:rFonts w:hint="eastAsia" w:ascii="仿宋_GB2312" w:hAnsi="仿宋_GB2312" w:cs="仿宋_GB2312"/>
          <w:bCs/>
          <w:color w:val="000000" w:themeColor="text1"/>
          <w:sz w:val="32"/>
          <w:szCs w:val="32"/>
        </w:rPr>
        <w:t>社会效益一</w:t>
      </w:r>
      <w:r>
        <w:rPr>
          <w:rFonts w:hint="eastAsia"/>
          <w:color w:val="000000"/>
          <w:sz w:val="32"/>
          <w:szCs w:val="32"/>
          <w:u w:color="000000"/>
          <w:lang w:val="zh-TW" w:eastAsia="zh-TW"/>
        </w:rPr>
        <w:t>个</w:t>
      </w:r>
      <w:r>
        <w:rPr>
          <w:rFonts w:hint="eastAsia"/>
          <w:color w:val="000000"/>
          <w:sz w:val="32"/>
          <w:szCs w:val="32"/>
          <w:u w:color="000000"/>
          <w:lang w:val="zh-TW"/>
        </w:rPr>
        <w:t>二</w:t>
      </w:r>
      <w:r>
        <w:rPr>
          <w:rFonts w:hint="eastAsia"/>
          <w:color w:val="000000"/>
          <w:sz w:val="32"/>
          <w:szCs w:val="32"/>
          <w:u w:color="000000"/>
          <w:lang w:val="zh-TW" w:eastAsia="zh-TW"/>
        </w:rPr>
        <w:t>级指标和</w:t>
      </w:r>
      <w:r>
        <w:rPr>
          <w:rFonts w:hint="eastAsia" w:ascii="仿宋_GB2312" w:hAnsi="仿宋_GB2312" w:cs="仿宋_GB2312"/>
          <w:sz w:val="32"/>
          <w:szCs w:val="32"/>
        </w:rPr>
        <w:t>1</w:t>
      </w:r>
      <w:r>
        <w:rPr>
          <w:rFonts w:hint="eastAsia" w:ascii="仿宋_GB2312" w:hAnsi="仿宋_GB2312" w:cs="仿宋_GB2312"/>
          <w:sz w:val="32"/>
          <w:szCs w:val="32"/>
          <w:lang w:val="zh-TW" w:eastAsia="zh-TW"/>
        </w:rPr>
        <w:t>个</w:t>
      </w:r>
      <w:r>
        <w:rPr>
          <w:rFonts w:hint="eastAsia" w:ascii="仿宋_GB2312" w:hAnsi="仿宋_GB2312" w:cs="仿宋_GB2312"/>
          <w:sz w:val="32"/>
          <w:szCs w:val="32"/>
        </w:rPr>
        <w:t>三</w:t>
      </w:r>
      <w:r>
        <w:rPr>
          <w:rFonts w:hint="eastAsia" w:ascii="仿宋_GB2312" w:hAnsi="仿宋_GB2312" w:cs="仿宋_GB2312"/>
          <w:sz w:val="32"/>
          <w:szCs w:val="32"/>
          <w:lang w:val="zh-TW" w:eastAsia="zh-TW"/>
        </w:rPr>
        <w:t>级指标构成，</w:t>
      </w:r>
      <w:r>
        <w:rPr>
          <w:rFonts w:hint="eastAsia" w:ascii="仿宋_GB2312" w:hAnsi="仿宋_GB2312" w:cs="仿宋_GB2312"/>
          <w:sz w:val="32"/>
          <w:szCs w:val="32"/>
        </w:rPr>
        <w:t>权重分为20分，本项目实际得分20分，得分率为100%。具体各项指标得分如下：</w:t>
      </w:r>
    </w:p>
    <w:p w14:paraId="6C3D98AA">
      <w:pPr>
        <w:spacing w:line="600" w:lineRule="exact"/>
        <w:ind w:firstLine="643"/>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14:paraId="7832E2AB">
      <w:pPr>
        <w:spacing w:line="600" w:lineRule="exact"/>
        <w:ind w:firstLine="640"/>
        <w:rPr>
          <w:sz w:val="32"/>
          <w:szCs w:val="32"/>
          <w:lang w:val="zh-TW" w:eastAsia="zh-TW"/>
        </w:rPr>
      </w:pPr>
      <w:r>
        <w:rPr>
          <w:rFonts w:hint="eastAsia"/>
          <w:sz w:val="32"/>
          <w:szCs w:val="32"/>
          <w:lang w:val="zh-TW"/>
        </w:rPr>
        <w:t>“</w:t>
      </w:r>
      <w:r>
        <w:rPr>
          <w:rFonts w:hint="eastAsia"/>
          <w:sz w:val="32"/>
          <w:szCs w:val="32"/>
          <w:lang w:val="zh-TW" w:eastAsia="zh-TW"/>
        </w:rPr>
        <w:t>进一步理顺城市管理体系，便民服务更加细致</w:t>
      </w:r>
      <w:r>
        <w:rPr>
          <w:rFonts w:hint="eastAsia"/>
          <w:sz w:val="32"/>
          <w:szCs w:val="32"/>
          <w:lang w:val="zh-TW"/>
        </w:rPr>
        <w:t>”指标，预期指标值为“有效改善”，</w:t>
      </w:r>
      <w:r>
        <w:rPr>
          <w:rFonts w:hint="eastAsia"/>
          <w:sz w:val="32"/>
          <w:szCs w:val="32"/>
          <w:lang w:val="zh-TW" w:eastAsia="zh-TW"/>
        </w:rPr>
        <w:t>根据</w:t>
      </w:r>
      <w:r>
        <w:rPr>
          <w:rFonts w:hint="eastAsia"/>
          <w:sz w:val="32"/>
          <w:szCs w:val="32"/>
          <w:lang w:val="zh-TW"/>
        </w:rPr>
        <w:t>街道设立、划分、社区数量的增加，覆盖群众基础设施服务情况看</w:t>
      </w:r>
      <w:r>
        <w:rPr>
          <w:rFonts w:hint="eastAsia"/>
          <w:sz w:val="32"/>
          <w:szCs w:val="32"/>
          <w:lang w:val="zh-TW" w:eastAsia="zh-TW"/>
        </w:rPr>
        <w:t>，实际完成</w:t>
      </w:r>
      <w:r>
        <w:rPr>
          <w:rFonts w:hint="eastAsia"/>
          <w:sz w:val="32"/>
          <w:szCs w:val="32"/>
          <w:lang w:val="zh-TW"/>
        </w:rPr>
        <w:t>群众生活成产各项幸福指标，</w:t>
      </w:r>
      <w:r>
        <w:rPr>
          <w:rFonts w:hint="eastAsia"/>
          <w:sz w:val="32"/>
          <w:szCs w:val="32"/>
          <w:lang w:val="zh-TW" w:eastAsia="zh-TW"/>
        </w:rPr>
        <w:t>根据评分标准，该指标</w:t>
      </w:r>
      <w:r>
        <w:rPr>
          <w:rFonts w:hint="eastAsia"/>
          <w:sz w:val="32"/>
          <w:szCs w:val="32"/>
        </w:rPr>
        <w:t>20</w:t>
      </w:r>
      <w:r>
        <w:rPr>
          <w:rFonts w:hint="eastAsia"/>
          <w:sz w:val="32"/>
          <w:szCs w:val="32"/>
          <w:lang w:val="zh-TW" w:eastAsia="zh-TW"/>
        </w:rPr>
        <w:t>分，得</w:t>
      </w:r>
      <w:r>
        <w:rPr>
          <w:rFonts w:hint="eastAsia"/>
          <w:sz w:val="32"/>
          <w:szCs w:val="32"/>
        </w:rPr>
        <w:t>20</w:t>
      </w:r>
      <w:r>
        <w:rPr>
          <w:rFonts w:hint="eastAsia"/>
          <w:sz w:val="32"/>
          <w:szCs w:val="32"/>
          <w:lang w:val="zh-TW" w:eastAsia="zh-TW"/>
        </w:rPr>
        <w:t>分。</w:t>
      </w:r>
    </w:p>
    <w:p w14:paraId="00D606E2">
      <w:pPr>
        <w:spacing w:line="600" w:lineRule="exact"/>
        <w:ind w:firstLine="643"/>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14:paraId="2FCFDF2C">
      <w:pPr>
        <w:pStyle w:val="4"/>
        <w:ind w:firstLine="640"/>
        <w:rPr>
          <w:rFonts w:hAnsi="Times New Roman"/>
          <w:b w:val="0"/>
          <w:bCs w:val="0"/>
          <w:kern w:val="2"/>
          <w:sz w:val="32"/>
        </w:rPr>
      </w:pPr>
      <w:r>
        <w:rPr>
          <w:rFonts w:hint="eastAsia" w:hAnsi="Times New Roman"/>
          <w:b w:val="0"/>
          <w:bCs w:val="0"/>
          <w:kern w:val="2"/>
          <w:sz w:val="32"/>
        </w:rPr>
        <w:t>本项目无该项指标。</w:t>
      </w:r>
    </w:p>
    <w:p w14:paraId="29D8178C">
      <w:pPr>
        <w:spacing w:line="600" w:lineRule="exact"/>
        <w:ind w:firstLine="643"/>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14:paraId="79C7FC6B">
      <w:pPr>
        <w:pStyle w:val="4"/>
        <w:ind w:firstLine="640"/>
        <w:rPr>
          <w:color w:val="FF0000"/>
          <w:sz w:val="32"/>
        </w:rPr>
      </w:pPr>
      <w:r>
        <w:rPr>
          <w:rFonts w:hint="eastAsia" w:hAnsi="Times New Roman"/>
          <w:b w:val="0"/>
          <w:bCs w:val="0"/>
          <w:kern w:val="2"/>
          <w:sz w:val="32"/>
        </w:rPr>
        <w:t>本项目无该项指标。</w:t>
      </w:r>
    </w:p>
    <w:p w14:paraId="583C1FBF">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（五）满意度指标完成情况分析</w:t>
      </w:r>
    </w:p>
    <w:p w14:paraId="283D106D">
      <w:pPr>
        <w:pStyle w:val="21"/>
        <w:spacing w:line="600" w:lineRule="exact"/>
        <w:ind w:firstLine="640"/>
        <w:rPr>
          <w:rFonts w:ascii="仿宋_GB2312"/>
          <w:kern w:val="2"/>
          <w:sz w:val="32"/>
          <w:szCs w:val="32"/>
        </w:rPr>
      </w:pPr>
      <w:bookmarkStart w:id="16" w:name="_Toc1921"/>
      <w:bookmarkStart w:id="17" w:name="_Toc28290"/>
      <w:r>
        <w:rPr>
          <w:rFonts w:hint="eastAsia" w:ascii="仿宋_GB2312"/>
          <w:kern w:val="2"/>
          <w:sz w:val="32"/>
          <w:szCs w:val="32"/>
        </w:rPr>
        <w:t>“沙湾市居民满意度（%）”指标，预期指标值为“大于等于95%”，根据设立街道提升群众服务需求方面进行满意度问卷调查的结果可知，群众满意度达100%，根据评分标准，该指标10分,得10分。</w:t>
      </w:r>
    </w:p>
    <w:p w14:paraId="3BA881A1">
      <w:pPr>
        <w:pStyle w:val="2"/>
        <w:spacing w:line="600" w:lineRule="exact"/>
        <w:ind w:firstLine="640"/>
        <w:rPr>
          <w:szCs w:val="32"/>
        </w:rPr>
      </w:pPr>
      <w:r>
        <w:rPr>
          <w:rFonts w:hint="eastAsia"/>
          <w:szCs w:val="32"/>
        </w:rPr>
        <w:t>五、预算执行进度与绩效指标偏差情况</w:t>
      </w:r>
    </w:p>
    <w:p w14:paraId="707462AA">
      <w:pPr>
        <w:pStyle w:val="3"/>
        <w:numPr>
          <w:ilvl w:val="0"/>
          <w:numId w:val="7"/>
        </w:numPr>
        <w:spacing w:line="600" w:lineRule="exact"/>
        <w:ind w:firstLine="643"/>
        <w:rPr>
          <w:rFonts w:ascii="楷体_GB2312" w:eastAsia="楷体_GB2312"/>
          <w:szCs w:val="32"/>
        </w:rPr>
      </w:pPr>
      <w:r>
        <w:rPr>
          <w:rFonts w:hint="eastAsia" w:ascii="楷体_GB2312" w:eastAsia="楷体_GB2312"/>
          <w:szCs w:val="32"/>
        </w:rPr>
        <w:t>预算执行进度</w:t>
      </w:r>
    </w:p>
    <w:p w14:paraId="34A2A36A">
      <w:pPr>
        <w:pStyle w:val="21"/>
        <w:spacing w:line="600" w:lineRule="exact"/>
        <w:ind w:firstLine="640"/>
        <w:rPr>
          <w:rFonts w:ascii="仿宋_GB2312"/>
          <w:sz w:val="32"/>
          <w:szCs w:val="32"/>
        </w:rPr>
      </w:pPr>
      <w:r>
        <w:rPr>
          <w:rFonts w:hint="eastAsia" w:ascii="仿宋_GB2312"/>
          <w:sz w:val="32"/>
          <w:szCs w:val="32"/>
        </w:rPr>
        <w:t>四个街道经费出差费材料费项目预算金额4.3万元，实际到位4.3万元，全年项目实际支出4.3万元，预算执行率为100%。</w:t>
      </w:r>
    </w:p>
    <w:p w14:paraId="32894463">
      <w:pPr>
        <w:pStyle w:val="21"/>
        <w:spacing w:line="600" w:lineRule="exact"/>
        <w:ind w:firstLine="643"/>
        <w:rPr>
          <w:rFonts w:ascii="楷体_GB2312" w:hAnsi="Arial" w:eastAsia="楷体_GB2312"/>
          <w:b/>
          <w:kern w:val="2"/>
          <w:sz w:val="32"/>
          <w:szCs w:val="32"/>
        </w:rPr>
      </w:pPr>
      <w:r>
        <w:rPr>
          <w:rFonts w:hint="eastAsia" w:ascii="楷体_GB2312" w:hAnsi="Arial" w:eastAsia="楷体_GB2312"/>
          <w:b/>
          <w:kern w:val="2"/>
          <w:sz w:val="32"/>
          <w:szCs w:val="32"/>
        </w:rPr>
        <w:t>（二）绩效指标偏差情况</w:t>
      </w:r>
    </w:p>
    <w:p w14:paraId="4D25BA7A">
      <w:pPr>
        <w:pStyle w:val="21"/>
        <w:spacing w:line="600" w:lineRule="exact"/>
        <w:ind w:firstLine="640"/>
        <w:rPr>
          <w:rFonts w:ascii="仿宋_GB2312" w:hAnsi="仿宋_GB2312" w:cs="仿宋_GB2312"/>
          <w:bCs/>
          <w:kern w:val="2"/>
          <w:sz w:val="32"/>
          <w:szCs w:val="32"/>
        </w:rPr>
      </w:pPr>
      <w:r>
        <w:rPr>
          <w:rFonts w:hint="eastAsia" w:ascii="仿宋_GB2312" w:hAnsi="仿宋_GB2312" w:cs="仿宋_GB2312"/>
          <w:bCs/>
          <w:kern w:val="2"/>
          <w:sz w:val="32"/>
          <w:szCs w:val="32"/>
        </w:rPr>
        <w:t>2023年本单位负责实施的四个街道经费出差费材料费项目的绩效目标及指标已经全部达成，不存在偏差情况。</w:t>
      </w:r>
      <w:bookmarkEnd w:id="16"/>
      <w:bookmarkEnd w:id="17"/>
    </w:p>
    <w:p w14:paraId="3BA59114">
      <w:pPr>
        <w:pStyle w:val="21"/>
        <w:spacing w:line="600" w:lineRule="exact"/>
        <w:ind w:firstLine="640"/>
        <w:rPr>
          <w:rFonts w:ascii="黑体" w:hAnsi="黑体" w:eastAsia="黑体" w:cs="黑体"/>
          <w:sz w:val="32"/>
          <w:szCs w:val="32"/>
        </w:rPr>
      </w:pPr>
      <w:r>
        <w:rPr>
          <w:rFonts w:hint="eastAsia" w:ascii="黑体" w:hAnsi="黑体" w:eastAsia="黑体" w:cs="黑体"/>
          <w:sz w:val="32"/>
          <w:szCs w:val="32"/>
        </w:rPr>
        <w:t>六、主要经验及做法、存在的问题及原因分析</w:t>
      </w:r>
    </w:p>
    <w:p w14:paraId="48239A5B">
      <w:pPr>
        <w:pStyle w:val="21"/>
        <w:spacing w:line="600" w:lineRule="exact"/>
        <w:ind w:firstLine="643"/>
        <w:rPr>
          <w:rFonts w:ascii="楷体_GB2312" w:hAnsi="Arial" w:eastAsia="楷体_GB2312"/>
          <w:b/>
          <w:kern w:val="2"/>
          <w:sz w:val="32"/>
          <w:szCs w:val="32"/>
        </w:rPr>
      </w:pPr>
      <w:r>
        <w:rPr>
          <w:rFonts w:hint="eastAsia" w:ascii="楷体_GB2312" w:hAnsi="Arial" w:eastAsia="楷体_GB2312"/>
          <w:b/>
          <w:kern w:val="2"/>
          <w:sz w:val="32"/>
          <w:szCs w:val="32"/>
        </w:rPr>
        <w:t>（一）主要经验及做法</w:t>
      </w:r>
      <w:bookmarkStart w:id="18" w:name="_Toc68364674"/>
    </w:p>
    <w:p w14:paraId="15DAECFE">
      <w:pPr>
        <w:pStyle w:val="21"/>
        <w:spacing w:line="600" w:lineRule="exact"/>
        <w:ind w:firstLine="640"/>
        <w:rPr>
          <w:rFonts w:ascii="仿宋_GB2312" w:hAnsi="仿宋_GB2312" w:cs="仿宋_GB2312"/>
          <w:bCs/>
          <w:kern w:val="2"/>
          <w:sz w:val="32"/>
          <w:szCs w:val="32"/>
        </w:rPr>
      </w:pPr>
      <w:r>
        <w:rPr>
          <w:rFonts w:hint="eastAsia" w:ascii="仿宋_GB2312" w:hAnsi="仿宋_GB2312" w:cs="仿宋_GB2312"/>
          <w:bCs/>
          <w:kern w:val="2"/>
          <w:sz w:val="32"/>
          <w:szCs w:val="32"/>
        </w:rPr>
        <w:t>撤销三道河子镇设立街道工作，在自治区党委、政府；伊犁州党委、人大、政府、政协；塔城地区地委、行署、人大、政协及县委、人大、政府、政协，各乡镇党委、政府、人大的全力支持下，在自治区民政厅直接指导下，民政局提前谋划、提前部署，边推进边向市委主要领导汇报进度；牵头、组织，广泛征求了社会公众意见，形成了多项报告，如《沙湾市拟定街道行政区划名称论证报告》《沙湾市行政区划名称译写方案的报告》等文件；</w:t>
      </w:r>
    </w:p>
    <w:p w14:paraId="0AF81C38">
      <w:pPr>
        <w:ind w:firstLine="640"/>
      </w:pPr>
      <w:r>
        <w:rPr>
          <w:rFonts w:hint="eastAsia" w:ascii="仿宋_GB2312" w:hAnsi="仿宋_GB2312" w:cs="仿宋_GB2312"/>
          <w:sz w:val="32"/>
          <w:szCs w:val="32"/>
        </w:rPr>
        <w:t>沙湾</w:t>
      </w:r>
      <w:r>
        <w:rPr>
          <w:rFonts w:hint="eastAsia" w:ascii="仿宋_GB2312" w:hAnsi="仿宋_GB2312" w:cs="仿宋_GB2312"/>
          <w:sz w:val="32"/>
          <w:szCs w:val="32"/>
          <w:lang w:eastAsia="zh-CN"/>
        </w:rPr>
        <w:t>市委、市政府</w:t>
      </w:r>
      <w:r>
        <w:rPr>
          <w:rFonts w:hint="eastAsia" w:ascii="仿宋_GB2312" w:hAnsi="仿宋_GB2312" w:cs="仿宋_GB2312"/>
          <w:sz w:val="32"/>
          <w:szCs w:val="32"/>
        </w:rPr>
        <w:t>对此项工作已经安排部署，成立工作领导小组，由民政局具体负责，三道河子镇组织社会各界人士对撤销三道河子镇设立街道办从街道划分、命名等工作</w:t>
      </w:r>
      <w:r>
        <w:rPr>
          <w:rFonts w:hint="eastAsia" w:ascii="仿宋_GB2312" w:hAnsi="仿宋_GB2312" w:cs="仿宋_GB2312"/>
          <w:sz w:val="32"/>
          <w:szCs w:val="32"/>
          <w:lang w:eastAsia="zh-CN"/>
        </w:rPr>
        <w:t>建</w:t>
      </w:r>
      <w:r>
        <w:rPr>
          <w:rFonts w:hint="eastAsia" w:ascii="仿宋_GB2312" w:hAnsi="仿宋_GB2312" w:cs="仿宋_GB2312"/>
          <w:sz w:val="32"/>
          <w:szCs w:val="32"/>
        </w:rPr>
        <w:t>言献策、民政局组织召开撤销三道河子镇设立街道办事处的专家论证会，经过多方论证，已确定沙湾市划分4个街道，即团结街道、桃园街道、书香街道、凯旋街道，寓意团结祥和、幸福稳定。</w:t>
      </w:r>
    </w:p>
    <w:p w14:paraId="7CDA05E2">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14:paraId="0B2C5EA5">
      <w:pPr>
        <w:ind w:firstLine="640"/>
        <w:rPr>
          <w:rFonts w:ascii="仿宋_GB2312" w:hAnsi="仿宋_GB2312" w:cs="仿宋_GB2312"/>
          <w:sz w:val="32"/>
          <w:szCs w:val="32"/>
        </w:rPr>
      </w:pPr>
      <w:r>
        <w:rPr>
          <w:rFonts w:hint="eastAsia" w:ascii="仿宋_GB2312" w:hAnsi="仿宋_GB2312" w:cs="仿宋_GB2312"/>
          <w:sz w:val="32"/>
          <w:szCs w:val="32"/>
        </w:rPr>
        <w:t>撤销三道河子镇设立街道审批权限不同级别，申报程序时间较长。主要原因：根据国务院《行政区划管理条例》，民政部《行政区划管理条例实施办法》及《中华人民共和国地方各级人民代表大会和地方各级人民政府组织法》的规定“市辖区、不设区的市人民政府，经上一级政府批准，可设立若干街道办事处，作为它的派出机关</w:t>
      </w:r>
      <w:r>
        <w:rPr>
          <w:rFonts w:ascii="仿宋_GB2312" w:hAnsi="仿宋_GB2312" w:cs="仿宋_GB2312"/>
          <w:sz w:val="32"/>
          <w:szCs w:val="32"/>
        </w:rPr>
        <w:t>”</w:t>
      </w:r>
      <w:r>
        <w:rPr>
          <w:rFonts w:hint="eastAsia" w:ascii="仿宋_GB2312" w:hAnsi="仿宋_GB2312" w:cs="仿宋_GB2312"/>
          <w:sz w:val="32"/>
          <w:szCs w:val="32"/>
        </w:rPr>
        <w:t>相关规定，沙湾市设立后要按照城市-街道-社区的行政管理模式运行。</w:t>
      </w:r>
    </w:p>
    <w:p w14:paraId="1796B554">
      <w:pPr>
        <w:ind w:firstLine="640"/>
        <w:rPr>
          <w:rFonts w:ascii="仿宋_GB2312" w:hAnsi="仿宋_GB2312" w:cs="仿宋_GB2312"/>
          <w:sz w:val="32"/>
          <w:szCs w:val="32"/>
        </w:rPr>
      </w:pPr>
      <w:r>
        <w:rPr>
          <w:rFonts w:hint="eastAsia" w:ascii="仿宋_GB2312" w:hAnsi="仿宋_GB2312" w:cs="仿宋_GB2312"/>
          <w:sz w:val="32"/>
          <w:szCs w:val="32"/>
        </w:rPr>
        <w:t>根据规定，撤销三道河子镇审批权限在自治区，设立街道办审批权在伊犁州人民政府，不能同步进行，需要先行撤销三道河子镇，再设立街道办，相关材料已经报市人民政府，向地区行署上报，转报伊犁州人民政府。</w:t>
      </w:r>
    </w:p>
    <w:p w14:paraId="62DB3F15">
      <w:pPr>
        <w:pStyle w:val="2"/>
        <w:spacing w:line="600" w:lineRule="exact"/>
        <w:ind w:firstLine="640"/>
        <w:rPr>
          <w:szCs w:val="32"/>
        </w:rPr>
      </w:pPr>
      <w:r>
        <w:rPr>
          <w:rFonts w:hint="eastAsia"/>
          <w:szCs w:val="32"/>
        </w:rPr>
        <w:t>七、有关建议</w:t>
      </w:r>
    </w:p>
    <w:p w14:paraId="105488E4">
      <w:pPr>
        <w:pStyle w:val="10"/>
        <w:widowControl/>
        <w:shd w:val="clear" w:color="auto" w:fill="FFFFFF"/>
        <w:spacing w:beforeAutospacing="0" w:afterAutospacing="0"/>
        <w:ind w:firstLine="640"/>
        <w:jc w:val="both"/>
        <w:rPr>
          <w:rFonts w:ascii="仿宋_GB2312" w:hAnsi="仿宋_GB2312" w:cs="仿宋_GB2312"/>
          <w:kern w:val="2"/>
          <w:sz w:val="32"/>
          <w:szCs w:val="32"/>
        </w:rPr>
      </w:pPr>
      <w:r>
        <w:rPr>
          <w:rFonts w:hint="eastAsia" w:ascii="仿宋_GB2312" w:hAnsi="仿宋_GB2312" w:cs="仿宋_GB2312"/>
          <w:kern w:val="2"/>
          <w:sz w:val="32"/>
          <w:szCs w:val="32"/>
        </w:rPr>
        <w:t>1、区划调整工作具有法定性、权威性，各镇街要站在全区的高度充分认识行政区划调整工作的重要意义；</w:t>
      </w:r>
    </w:p>
    <w:p w14:paraId="3895FC4B">
      <w:pPr>
        <w:pStyle w:val="10"/>
        <w:widowControl/>
        <w:spacing w:beforeAutospacing="0" w:afterAutospacing="0"/>
        <w:ind w:firstLine="640"/>
        <w:rPr>
          <w:rFonts w:ascii="仿宋_GB2312" w:hAnsi="仿宋_GB2312" w:cs="仿宋_GB2312"/>
          <w:kern w:val="2"/>
          <w:sz w:val="32"/>
          <w:szCs w:val="32"/>
        </w:rPr>
      </w:pPr>
      <w:r>
        <w:rPr>
          <w:rFonts w:hint="eastAsia" w:ascii="仿宋_GB2312" w:hAnsi="仿宋_GB2312" w:cs="仿宋_GB2312"/>
          <w:kern w:val="2"/>
          <w:sz w:val="32"/>
          <w:szCs w:val="32"/>
        </w:rPr>
        <w:t>2、街道办事处设立标准已出台，各镇街要认真贯彻落实，严格按标准执行；</w:t>
      </w:r>
    </w:p>
    <w:p w14:paraId="77BEB0D3">
      <w:pPr>
        <w:pStyle w:val="10"/>
        <w:widowControl/>
        <w:shd w:val="clear" w:color="auto" w:fill="FFFFFF"/>
        <w:spacing w:beforeAutospacing="0" w:afterAutospacing="0"/>
        <w:ind w:firstLine="640"/>
        <w:jc w:val="both"/>
        <w:rPr>
          <w:rFonts w:ascii="仿宋_GB2312" w:hAnsi="仿宋_GB2312" w:cs="仿宋_GB2312"/>
          <w:kern w:val="2"/>
          <w:sz w:val="32"/>
          <w:szCs w:val="32"/>
        </w:rPr>
      </w:pPr>
      <w:r>
        <w:rPr>
          <w:rFonts w:hint="eastAsia" w:ascii="仿宋_GB2312" w:hAnsi="仿宋_GB2312" w:cs="仿宋_GB2312"/>
          <w:kern w:val="2"/>
          <w:sz w:val="32"/>
          <w:szCs w:val="32"/>
        </w:rPr>
        <w:t>3、依据街道办事处设立标准和相关法规条例，着力解决交叉管</w:t>
      </w:r>
      <w:r>
        <w:rPr>
          <w:rFonts w:hint="eastAsia" w:ascii="仿宋_GB2312" w:hAnsi="仿宋_GB2312" w:cs="仿宋_GB2312"/>
          <w:kern w:val="2"/>
          <w:sz w:val="32"/>
          <w:szCs w:val="32"/>
          <w:lang w:eastAsia="zh-CN"/>
        </w:rPr>
        <w:t>理</w:t>
      </w:r>
      <w:r>
        <w:rPr>
          <w:rFonts w:hint="eastAsia" w:ascii="仿宋_GB2312" w:hAnsi="仿宋_GB2312" w:cs="仿宋_GB2312"/>
          <w:kern w:val="2"/>
          <w:sz w:val="32"/>
          <w:szCs w:val="32"/>
        </w:rPr>
        <w:t>现象，保证界</w:t>
      </w:r>
      <w:r>
        <w:rPr>
          <w:rFonts w:hint="eastAsia" w:ascii="仿宋_GB2312" w:hAnsi="仿宋_GB2312" w:cs="仿宋_GB2312"/>
          <w:kern w:val="2"/>
          <w:sz w:val="32"/>
          <w:szCs w:val="32"/>
          <w:lang w:eastAsia="zh-CN"/>
        </w:rPr>
        <w:t>限</w:t>
      </w:r>
      <w:r>
        <w:rPr>
          <w:rFonts w:hint="eastAsia" w:ascii="仿宋_GB2312" w:hAnsi="仿宋_GB2312" w:cs="仿宋_GB2312"/>
          <w:kern w:val="2"/>
          <w:sz w:val="32"/>
          <w:szCs w:val="32"/>
        </w:rPr>
        <w:t>的科学性、合理性。</w:t>
      </w:r>
      <w:bookmarkStart w:id="19" w:name="_GoBack"/>
      <w:bookmarkEnd w:id="19"/>
    </w:p>
    <w:p w14:paraId="76F233CA">
      <w:pPr>
        <w:pStyle w:val="2"/>
        <w:spacing w:line="600" w:lineRule="exact"/>
        <w:ind w:firstLine="640"/>
        <w:rPr>
          <w:szCs w:val="32"/>
        </w:rPr>
      </w:pPr>
      <w:r>
        <w:rPr>
          <w:rFonts w:hint="eastAsia"/>
          <w:szCs w:val="32"/>
        </w:rPr>
        <w:t>八、其他需要说明的问题</w:t>
      </w:r>
    </w:p>
    <w:p w14:paraId="4325F607">
      <w:pPr>
        <w:pStyle w:val="21"/>
        <w:spacing w:line="600" w:lineRule="exact"/>
        <w:ind w:firstLine="624"/>
        <w:rPr>
          <w:rFonts w:ascii="仿宋_GB2312"/>
          <w:sz w:val="32"/>
          <w:szCs w:val="32"/>
        </w:rPr>
      </w:pPr>
      <w:r>
        <w:rPr>
          <w:rFonts w:hint="eastAsia"/>
          <w:spacing w:val="-4"/>
          <w:sz w:val="32"/>
          <w:szCs w:val="32"/>
        </w:rPr>
        <w:t>无其他说明内容。</w:t>
      </w:r>
    </w:p>
    <w:p w14:paraId="357C8E19">
      <w:pPr>
        <w:spacing w:line="600" w:lineRule="exact"/>
        <w:ind w:firstLine="640"/>
        <w:rPr>
          <w:rFonts w:ascii="仿宋_GB2312"/>
          <w:color w:val="000000" w:themeColor="text1"/>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45BC844A-BF24-4903-944F-536FE2EEAC6E}"/>
  </w:font>
  <w:font w:name="黑体">
    <w:panose1 w:val="02010609060101010101"/>
    <w:charset w:val="86"/>
    <w:family w:val="auto"/>
    <w:pitch w:val="default"/>
    <w:sig w:usb0="800002BF" w:usb1="38CF7CFA" w:usb2="00000016" w:usb3="00000000" w:csb0="00040001" w:csb1="00000000"/>
    <w:embedRegular r:id="rId2" w:fontKey="{59911E44-64F8-4761-AC49-1CC3678ED06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1774CDDE-95BA-4D8C-A82B-0FD9775700EF}"/>
  </w:font>
  <w:font w:name="楷体">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embedRegular r:id="rId4" w:fontKey="{3005A49F-242D-4229-AD2C-FFF0F4B17D0B}"/>
  </w:font>
  <w:font w:name="方正小标宋简体">
    <w:altName w:val="仿宋_GB2312"/>
    <w:panose1 w:val="00000000000000000000"/>
    <w:charset w:val="86"/>
    <w:family w:val="script"/>
    <w:pitch w:val="default"/>
    <w:sig w:usb0="00000000" w:usb1="00000000" w:usb2="00000012" w:usb3="00000000" w:csb0="00040001" w:csb1="00000000"/>
    <w:embedRegular r:id="rId5" w:fontKey="{7B98BBC8-C891-4F37-A7CF-F996106AC324}"/>
  </w:font>
  <w:font w:name="方正小标宋_GBK">
    <w:panose1 w:val="03000509000000000000"/>
    <w:charset w:val="86"/>
    <w:family w:val="script"/>
    <w:pitch w:val="default"/>
    <w:sig w:usb0="00000001" w:usb1="080E0000" w:usb2="00000000" w:usb3="00000000" w:csb0="00040000" w:csb1="00000000"/>
    <w:embedRegular r:id="rId6" w:fontKey="{99ED4695-9FFD-4902-BA07-7D0548AE974B}"/>
  </w:font>
  <w:font w:name="楷体_GB2312">
    <w:panose1 w:val="02010609030101010101"/>
    <w:charset w:val="86"/>
    <w:family w:val="modern"/>
    <w:pitch w:val="default"/>
    <w:sig w:usb0="00000001" w:usb1="080E0000" w:usb2="00000000" w:usb3="00000000" w:csb0="00040000" w:csb1="00000000"/>
    <w:embedRegular r:id="rId7" w:fontKey="{36288CA0-E567-41AD-AD48-A2C605F6994B}"/>
  </w:font>
  <w:font w:name="方正仿宋简体">
    <w:altName w:val="微软雅黑"/>
    <w:panose1 w:val="00000000000000000000"/>
    <w:charset w:val="86"/>
    <w:family w:val="auto"/>
    <w:pitch w:val="default"/>
    <w:sig w:usb0="00000000" w:usb1="00000000" w:usb2="00000012" w:usb3="00000000" w:csb0="00040001" w:csb1="00000000"/>
    <w:embedRegular r:id="rId8" w:fontKey="{6EABC607-4C00-4AEF-A2C2-9229F9CDE206}"/>
  </w:font>
  <w:font w:name="微软雅黑">
    <w:panose1 w:val="020B0503020204020204"/>
    <w:charset w:val="86"/>
    <w:family w:val="swiss"/>
    <w:pitch w:val="default"/>
    <w:sig w:usb0="80000287" w:usb1="280F3C52" w:usb2="00000016" w:usb3="00000000" w:csb0="0004001F" w:csb1="00000000"/>
    <w:embedRegular r:id="rId9" w:fontKey="{1FC14E08-17F9-4B03-8A10-93E5E981CEA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8B18A">
    <w:pPr>
      <w:pStyle w:val="8"/>
      <w:tabs>
        <w:tab w:val="center" w:pos="4602"/>
        <w:tab w:val="clear" w:pos="4153"/>
        <w:tab w:val="clear" w:pos="8306"/>
      </w:tabs>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path/>
          <v:fill on="f" focussize="0,0"/>
          <v:stroke on="f" weight="0.5pt" joinstyle="miter"/>
          <v:imagedata o:title=""/>
          <o:lock v:ext="edit"/>
          <v:textbox inset="0mm,0mm,0mm,0mm" style="mso-fit-shape-to-text:t;">
            <w:txbxContent>
              <w:p w14:paraId="40D32AC3">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19</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E0915">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6685B">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A7DEF">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CC079">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7B27E">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E13658E"/>
    <w:multiLevelType w:val="singleLevel"/>
    <w:tmpl w:val="EE13658E"/>
    <w:lvl w:ilvl="0" w:tentative="0">
      <w:start w:val="4"/>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NkZDdiNDMzMTc1NmIzZDY2YjgwMzEyYmM4OWQ3MTU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C6A11"/>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01712"/>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46A0822"/>
    <w:rsid w:val="077B318B"/>
    <w:rsid w:val="09BF0F6A"/>
    <w:rsid w:val="0BB6203E"/>
    <w:rsid w:val="0C530D7C"/>
    <w:rsid w:val="12F1313F"/>
    <w:rsid w:val="21806EE0"/>
    <w:rsid w:val="245E1E24"/>
    <w:rsid w:val="2E483E7E"/>
    <w:rsid w:val="2FF22A22"/>
    <w:rsid w:val="30D5534D"/>
    <w:rsid w:val="33944516"/>
    <w:rsid w:val="380B320C"/>
    <w:rsid w:val="3E2D1506"/>
    <w:rsid w:val="3F72541E"/>
    <w:rsid w:val="41826FB4"/>
    <w:rsid w:val="43BB4E95"/>
    <w:rsid w:val="4647713E"/>
    <w:rsid w:val="49A75425"/>
    <w:rsid w:val="4C300E78"/>
    <w:rsid w:val="5680001B"/>
    <w:rsid w:val="5D7317A1"/>
    <w:rsid w:val="5EDF9208"/>
    <w:rsid w:val="5F076A36"/>
    <w:rsid w:val="5FAFB075"/>
    <w:rsid w:val="624B2735"/>
    <w:rsid w:val="68291A1A"/>
    <w:rsid w:val="691B1594"/>
    <w:rsid w:val="6DDA1E5F"/>
    <w:rsid w:val="6F0D6C22"/>
    <w:rsid w:val="6FD35114"/>
    <w:rsid w:val="6FE70C15"/>
    <w:rsid w:val="6FF38B9B"/>
    <w:rsid w:val="72860B42"/>
    <w:rsid w:val="73D9A77D"/>
    <w:rsid w:val="73DC0254"/>
    <w:rsid w:val="73F90A54"/>
    <w:rsid w:val="752F3FCD"/>
    <w:rsid w:val="7657F55C"/>
    <w:rsid w:val="76D2301A"/>
    <w:rsid w:val="77861774"/>
    <w:rsid w:val="77978BBA"/>
    <w:rsid w:val="779A1216"/>
    <w:rsid w:val="77FD56A3"/>
    <w:rsid w:val="786D3A99"/>
    <w:rsid w:val="79300B45"/>
    <w:rsid w:val="7AFFA044"/>
    <w:rsid w:val="7C55A6FE"/>
    <w:rsid w:val="7C7F22A6"/>
    <w:rsid w:val="7D0506AA"/>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autoRedefine/>
    <w:qFormat/>
    <w:uiPriority w:val="0"/>
    <w:pPr>
      <w:keepNext/>
      <w:keepLines/>
      <w:ind w:firstLine="964"/>
      <w:outlineLvl w:val="0"/>
    </w:pPr>
    <w:rPr>
      <w:rFonts w:eastAsia="黑体"/>
      <w:kern w:val="44"/>
      <w:sz w:val="32"/>
      <w:szCs w:val="22"/>
    </w:rPr>
  </w:style>
  <w:style w:type="paragraph" w:styleId="3">
    <w:name w:val="heading 2"/>
    <w:basedOn w:val="1"/>
    <w:next w:val="1"/>
    <w:autoRedefine/>
    <w:unhideWhenUsed/>
    <w:qFormat/>
    <w:uiPriority w:val="0"/>
    <w:pPr>
      <w:keepNext/>
      <w:keepLines/>
      <w:ind w:firstLine="964"/>
      <w:outlineLvl w:val="1"/>
    </w:pPr>
    <w:rPr>
      <w:rFonts w:ascii="Arial" w:hAnsi="Arial" w:eastAsia="楷体"/>
      <w:b/>
      <w:sz w:val="32"/>
    </w:rPr>
  </w:style>
  <w:style w:type="paragraph" w:styleId="4">
    <w:name w:val="heading 3"/>
    <w:basedOn w:val="1"/>
    <w:next w:val="1"/>
    <w:autoRedefine/>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unhideWhenUsed/>
    <w:qFormat/>
    <w:uiPriority w:val="0"/>
    <w:pPr>
      <w:spacing w:before="240" w:after="240" w:line="360" w:lineRule="auto"/>
      <w:jc w:val="center"/>
    </w:pPr>
    <w:rPr>
      <w:b/>
      <w:sz w:val="44"/>
    </w:rPr>
  </w:style>
  <w:style w:type="paragraph" w:styleId="7">
    <w:name w:val="Balloon Text"/>
    <w:basedOn w:val="1"/>
    <w:link w:val="17"/>
    <w:autoRedefine/>
    <w:qFormat/>
    <w:uiPriority w:val="0"/>
    <w:pPr>
      <w:spacing w:line="240" w:lineRule="auto"/>
    </w:pPr>
    <w:rPr>
      <w:sz w:val="18"/>
      <w:szCs w:val="18"/>
    </w:rPr>
  </w:style>
  <w:style w:type="paragraph" w:styleId="8">
    <w:name w:val="footer"/>
    <w:basedOn w:val="1"/>
    <w:link w:val="20"/>
    <w:autoRedefine/>
    <w:qFormat/>
    <w:uiPriority w:val="99"/>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autoRedefine/>
    <w:semiHidden/>
    <w:unhideWhenUsed/>
    <w:qFormat/>
    <w:uiPriority w:val="0"/>
    <w:pPr>
      <w:spacing w:beforeAutospacing="1" w:afterAutospacing="1"/>
      <w:jc w:val="left"/>
    </w:pPr>
    <w:rPr>
      <w:kern w:val="0"/>
      <w:sz w:val="24"/>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autoRedefine/>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autoRedefine/>
    <w:unhideWhenUsed/>
    <w:qFormat/>
    <w:uiPriority w:val="99"/>
    <w:pPr>
      <w:ind w:firstLine="420"/>
    </w:pPr>
  </w:style>
  <w:style w:type="paragraph" w:customStyle="1" w:styleId="19">
    <w:name w:val="标题2"/>
    <w:basedOn w:val="3"/>
    <w:autoRedefine/>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autoRedefine/>
    <w:qFormat/>
    <w:uiPriority w:val="34"/>
    <w:pPr>
      <w:ind w:firstLine="420"/>
    </w:pPr>
  </w:style>
  <w:style w:type="paragraph" w:customStyle="1" w:styleId="23">
    <w:name w:val="闻政-正文二级标题"/>
    <w:basedOn w:val="3"/>
    <w:next w:val="21"/>
    <w:autoRedefine/>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autoRedefine/>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autoRedefine/>
    <w:qFormat/>
    <w:uiPriority w:val="3"/>
    <w:rPr>
      <w:rFonts w:eastAsia="仿宋_GB2312"/>
      <w:sz w:val="28"/>
      <w:szCs w:val="28"/>
    </w:rPr>
  </w:style>
  <w:style w:type="character" w:customStyle="1" w:styleId="27">
    <w:name w:val="NormalCharacter"/>
    <w:autoRedefine/>
    <w:qFormat/>
    <w:uiPriority w:val="0"/>
    <w:rPr>
      <w:rFonts w:ascii="Times New Roman" w:hAnsi="Times New Roman" w:eastAsia="仿宋"/>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3946</Words>
  <Characters>4077</Characters>
  <Lines>3</Lines>
  <Paragraphs>16</Paragraphs>
  <TotalTime>32</TotalTime>
  <ScaleCrop>false</ScaleCrop>
  <LinksUpToDate>false</LinksUpToDate>
  <CharactersWithSpaces>4079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快乐人生</cp:lastModifiedBy>
  <cp:lastPrinted>2021-03-04T11:49:00Z</cp:lastPrinted>
  <dcterms:modified xsi:type="dcterms:W3CDTF">2024-11-08T10:29:13Z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E9B3B8BFC1254E9A8C827A1BE8428AC9</vt:lpwstr>
  </property>
</Properties>
</file>